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2424" w14:textId="20C5D172" w:rsidR="00EC6E36" w:rsidRDefault="00EC6E36" w:rsidP="00EC6E36">
      <w:pPr>
        <w:jc w:val="center"/>
        <w:rPr>
          <w:rFonts w:ascii="標楷體" w:eastAsia="標楷體" w:hAnsi="標楷體"/>
          <w:b/>
          <w:sz w:val="36"/>
        </w:rPr>
      </w:pPr>
      <w:r w:rsidRPr="00C12E71">
        <w:rPr>
          <w:rFonts w:ascii="標楷體" w:eastAsia="標楷體" w:hAnsi="標楷體" w:hint="eastAsia"/>
          <w:b/>
          <w:sz w:val="36"/>
        </w:rPr>
        <w:t>骨頭也會長腫瘤? 淺談骨腫瘤</w:t>
      </w:r>
    </w:p>
    <w:p w14:paraId="6000C001" w14:textId="77777777" w:rsidR="00044A21" w:rsidRPr="00C12E71" w:rsidRDefault="00044A21" w:rsidP="00EC6E36">
      <w:pPr>
        <w:jc w:val="center"/>
        <w:rPr>
          <w:rFonts w:ascii="標楷體" w:eastAsia="標楷體" w:hAnsi="標楷體" w:hint="eastAsia"/>
          <w:b/>
          <w:sz w:val="36"/>
        </w:rPr>
      </w:pPr>
    </w:p>
    <w:p w14:paraId="313448BA" w14:textId="38188C29" w:rsidR="00EC6E36" w:rsidRPr="00C12E71" w:rsidRDefault="00044A21" w:rsidP="000366CF">
      <w:pPr>
        <w:jc w:val="right"/>
        <w:rPr>
          <w:rFonts w:ascii="標楷體" w:eastAsia="標楷體" w:hAnsi="標楷體"/>
          <w:sz w:val="28"/>
        </w:rPr>
      </w:pPr>
      <w:r>
        <w:rPr>
          <w:rFonts w:ascii="標楷體" w:eastAsia="標楷體" w:hAnsi="標楷體" w:hint="eastAsia"/>
          <w:sz w:val="28"/>
        </w:rPr>
        <w:t>骨病科 科主任</w:t>
      </w:r>
      <w:r w:rsidR="00EC6E36" w:rsidRPr="00C12E71">
        <w:rPr>
          <w:rFonts w:ascii="標楷體" w:eastAsia="標楷體" w:hAnsi="標楷體" w:hint="eastAsia"/>
          <w:sz w:val="28"/>
        </w:rPr>
        <w:t xml:space="preserve"> 楊善為 </w:t>
      </w:r>
    </w:p>
    <w:p w14:paraId="3DD6E4A2" w14:textId="77777777" w:rsidR="00EC6E36" w:rsidRPr="00C12E71" w:rsidRDefault="00EC6E36">
      <w:pPr>
        <w:rPr>
          <w:rFonts w:ascii="標楷體" w:eastAsia="標楷體" w:hAnsi="標楷體"/>
          <w:sz w:val="28"/>
        </w:rPr>
      </w:pPr>
    </w:p>
    <w:p w14:paraId="780DE541" w14:textId="77777777" w:rsidR="00EC6E36" w:rsidRPr="00C12E71" w:rsidRDefault="00EC6E36" w:rsidP="006F0145">
      <w:pPr>
        <w:pStyle w:val="a3"/>
        <w:ind w:firstLine="540"/>
        <w:rPr>
          <w:rFonts w:ascii="標楷體" w:eastAsia="標楷體" w:hAnsi="標楷體"/>
        </w:rPr>
      </w:pPr>
      <w:r w:rsidRPr="00C12E71">
        <w:rPr>
          <w:rFonts w:ascii="標楷體" w:eastAsia="標楷體" w:hAnsi="標楷體" w:hint="eastAsia"/>
        </w:rPr>
        <w:t>人體的骨骼系統和身體其他器官一樣，都有可能因腫瘤細胞侵犯形成骨腫瘤。骨瘤可分良性與惡性。一般常見的良性骨瘤包括巨大細胞瘤、骨軟骨瘤、內生軟骨瘤、類骨瘤。常見的惡性骨</w:t>
      </w:r>
      <w:r w:rsidR="003F4E92" w:rsidRPr="00C12E71">
        <w:rPr>
          <w:rFonts w:ascii="標楷體" w:eastAsia="標楷體" w:hAnsi="標楷體" w:hint="eastAsia"/>
        </w:rPr>
        <w:t>癌</w:t>
      </w:r>
      <w:r w:rsidRPr="00C12E71">
        <w:rPr>
          <w:rFonts w:ascii="標楷體" w:eastAsia="標楷體" w:hAnsi="標楷體" w:hint="eastAsia"/>
        </w:rPr>
        <w:t>有骨肉瘤、軟骨肉瘤、伊文氏肉瘤等。良性骨瘤並不會致命，但腫瘤過大會造成壓迫引起不適，甚至造成病理性骨折。惡性骨瘤的癌細胞對人體有致命危險，並可能轉移到其他組織器官</w:t>
      </w:r>
      <w:r w:rsidR="000366CF" w:rsidRPr="00C12E71">
        <w:rPr>
          <w:rFonts w:ascii="標楷體" w:eastAsia="標楷體" w:hAnsi="標楷體" w:hint="eastAsia"/>
        </w:rPr>
        <w:t>。</w:t>
      </w:r>
    </w:p>
    <w:p w14:paraId="4820D69D" w14:textId="77777777" w:rsidR="00EC6E36" w:rsidRPr="00C12E71" w:rsidRDefault="00EC6E36">
      <w:pPr>
        <w:numPr>
          <w:ilvl w:val="0"/>
          <w:numId w:val="4"/>
        </w:numPr>
        <w:spacing w:before="100" w:beforeAutospacing="1" w:after="240"/>
        <w:rPr>
          <w:rFonts w:ascii="標楷體" w:eastAsia="標楷體" w:hAnsi="標楷體"/>
          <w:sz w:val="28"/>
        </w:rPr>
      </w:pPr>
      <w:r w:rsidRPr="00C12E71">
        <w:rPr>
          <w:rFonts w:ascii="標楷體" w:eastAsia="標楷體" w:hAnsi="標楷體" w:hint="eastAsia"/>
          <w:sz w:val="28"/>
          <w:szCs w:val="20"/>
        </w:rPr>
        <w:t>臨床症狀：初期患處會隱約疼痛，尤其夜間疼痛感特別明顯。隨著腫瘤逐漸擴大後，患處疼痛加劇且出現局部腫大。</w:t>
      </w:r>
    </w:p>
    <w:p w14:paraId="2ED6235F" w14:textId="77777777" w:rsidR="00EC6E36" w:rsidRPr="00C12E71" w:rsidRDefault="00EC6E36">
      <w:pPr>
        <w:numPr>
          <w:ilvl w:val="0"/>
          <w:numId w:val="4"/>
        </w:numPr>
        <w:spacing w:before="100" w:beforeAutospacing="1" w:after="240"/>
        <w:rPr>
          <w:rFonts w:ascii="標楷體" w:eastAsia="標楷體" w:hAnsi="標楷體"/>
          <w:sz w:val="28"/>
        </w:rPr>
      </w:pPr>
      <w:r w:rsidRPr="00C12E71">
        <w:rPr>
          <w:rFonts w:ascii="標楷體" w:eastAsia="標楷體" w:hAnsi="標楷體" w:hint="eastAsia"/>
          <w:sz w:val="28"/>
          <w:szCs w:val="20"/>
        </w:rPr>
        <w:t>放射影像檢查：</w:t>
      </w:r>
      <w:r w:rsidRPr="00C12E71">
        <w:rPr>
          <w:rFonts w:ascii="標楷體" w:eastAsia="標楷體" w:hAnsi="標楷體" w:hint="eastAsia"/>
          <w:sz w:val="28"/>
          <w:szCs w:val="20"/>
        </w:rPr>
        <w:br/>
      </w:r>
      <w:r w:rsidRPr="00C12E71">
        <w:rPr>
          <w:rFonts w:ascii="標楷體" w:eastAsia="標楷體" w:hAnsi="標楷體" w:hint="eastAsia"/>
          <w:color w:val="000000"/>
          <w:sz w:val="28"/>
          <w:szCs w:val="20"/>
        </w:rPr>
        <w:t xml:space="preserve">　　Ｘ光片攝影、電腦斷層攝影、核磁共振攝影等檢查，可依照片所顯像性質作初步惡性與良性鑑別診斷。</w:t>
      </w:r>
    </w:p>
    <w:p w14:paraId="6817C149" w14:textId="77777777" w:rsidR="00EC6E36" w:rsidRPr="00C12E71" w:rsidRDefault="00EC6E36">
      <w:pPr>
        <w:numPr>
          <w:ilvl w:val="0"/>
          <w:numId w:val="4"/>
        </w:numPr>
        <w:spacing w:before="100" w:beforeAutospacing="1" w:after="100" w:afterAutospacing="1"/>
        <w:rPr>
          <w:rFonts w:ascii="標楷體" w:eastAsia="標楷體" w:hAnsi="標楷體"/>
          <w:sz w:val="28"/>
        </w:rPr>
      </w:pPr>
      <w:r w:rsidRPr="00C12E71">
        <w:rPr>
          <w:rFonts w:ascii="標楷體" w:eastAsia="標楷體" w:hAnsi="標楷體" w:hint="eastAsia"/>
          <w:sz w:val="28"/>
          <w:szCs w:val="20"/>
        </w:rPr>
        <w:t>病理組織切片，取出部分腫瘤組織作病理化驗，確定診斷，方法可分兩種：</w:t>
      </w:r>
      <w:r w:rsidRPr="00C12E71">
        <w:rPr>
          <w:rFonts w:ascii="標楷體" w:eastAsia="標楷體" w:hAnsi="標楷體"/>
          <w:sz w:val="28"/>
        </w:rPr>
        <w:t xml:space="preserve"> </w:t>
      </w:r>
    </w:p>
    <w:p w14:paraId="725EFC30" w14:textId="77777777" w:rsidR="00EC6E36" w:rsidRPr="00C12E71" w:rsidRDefault="00EC6E36">
      <w:pPr>
        <w:spacing w:before="100" w:beforeAutospacing="1" w:after="240"/>
        <w:ind w:left="480"/>
        <w:rPr>
          <w:rFonts w:ascii="標楷體" w:eastAsia="標楷體" w:hAnsi="標楷體"/>
          <w:sz w:val="28"/>
        </w:rPr>
      </w:pPr>
      <w:r w:rsidRPr="00C12E71">
        <w:rPr>
          <w:rFonts w:ascii="標楷體" w:eastAsia="標楷體" w:hAnsi="標楷體" w:hint="eastAsia"/>
          <w:color w:val="000000"/>
          <w:sz w:val="28"/>
          <w:szCs w:val="20"/>
        </w:rPr>
        <w:t>【1】針刺取樣：在超音波或電腦斷層攝影輔助下，以細針刺入腫瘤取樣，傷口小，但取樣量也少，相對成功率較低。</w:t>
      </w:r>
      <w:r w:rsidRPr="00C12E71">
        <w:rPr>
          <w:rFonts w:ascii="標楷體" w:eastAsia="標楷體" w:hAnsi="標楷體" w:hint="eastAsia"/>
          <w:color w:val="000000"/>
          <w:sz w:val="28"/>
          <w:szCs w:val="20"/>
        </w:rPr>
        <w:br/>
        <w:t>【2】手術切開取樣：需進行手術切開腫瘤取樣，準確率高。</w:t>
      </w:r>
    </w:p>
    <w:p w14:paraId="40FDA224" w14:textId="77777777" w:rsidR="00EC6E36" w:rsidRPr="00C12E71" w:rsidRDefault="00EC6E36">
      <w:pPr>
        <w:numPr>
          <w:ilvl w:val="0"/>
          <w:numId w:val="4"/>
        </w:numPr>
        <w:spacing w:before="100" w:beforeAutospacing="1" w:after="240"/>
        <w:rPr>
          <w:rFonts w:ascii="標楷體" w:eastAsia="標楷體" w:hAnsi="標楷體"/>
          <w:sz w:val="28"/>
        </w:rPr>
      </w:pPr>
      <w:r w:rsidRPr="00C12E71">
        <w:rPr>
          <w:rFonts w:ascii="標楷體" w:eastAsia="標楷體" w:hAnsi="標楷體" w:hint="eastAsia"/>
          <w:sz w:val="28"/>
        </w:rPr>
        <w:t>治療：依腫瘤特性及病患狀況，治療方式</w:t>
      </w:r>
      <w:r w:rsidR="003F4E92" w:rsidRPr="00C12E71">
        <w:rPr>
          <w:rFonts w:ascii="標楷體" w:eastAsia="標楷體" w:hAnsi="標楷體" w:hint="eastAsia"/>
          <w:sz w:val="28"/>
        </w:rPr>
        <w:t>有</w:t>
      </w:r>
      <w:r w:rsidRPr="00C12E71">
        <w:rPr>
          <w:rFonts w:ascii="標楷體" w:eastAsia="標楷體" w:hAnsi="標楷體" w:hint="eastAsia"/>
          <w:sz w:val="28"/>
        </w:rPr>
        <w:t>手術、放射線治療電療、或化療。甚至多種方式搭配治療。</w:t>
      </w:r>
    </w:p>
    <w:p w14:paraId="5D421DB6" w14:textId="77777777" w:rsidR="00EC6E36" w:rsidRPr="00C12E71" w:rsidRDefault="00EC6E36">
      <w:pPr>
        <w:numPr>
          <w:ilvl w:val="0"/>
          <w:numId w:val="7"/>
        </w:numPr>
        <w:spacing w:before="100" w:beforeAutospacing="1" w:after="240"/>
        <w:rPr>
          <w:rFonts w:ascii="標楷體" w:eastAsia="標楷體" w:hAnsi="標楷體"/>
          <w:color w:val="000000"/>
          <w:sz w:val="28"/>
          <w:szCs w:val="20"/>
        </w:rPr>
      </w:pPr>
      <w:r w:rsidRPr="00C12E71">
        <w:rPr>
          <w:rFonts w:ascii="標楷體" w:eastAsia="標楷體" w:hAnsi="標楷體" w:hint="eastAsia"/>
          <w:color w:val="000000"/>
          <w:sz w:val="28"/>
          <w:szCs w:val="20"/>
        </w:rPr>
        <w:t>外科手術：</w:t>
      </w:r>
    </w:p>
    <w:p w14:paraId="4C7AB8C4" w14:textId="77777777" w:rsidR="00EC6E36" w:rsidRPr="00C12E71" w:rsidRDefault="00EC6E36">
      <w:pPr>
        <w:numPr>
          <w:ilvl w:val="0"/>
          <w:numId w:val="8"/>
        </w:numPr>
        <w:spacing w:before="100" w:beforeAutospacing="1" w:after="240"/>
        <w:rPr>
          <w:rFonts w:ascii="標楷體" w:eastAsia="標楷體" w:hAnsi="標楷體"/>
          <w:color w:val="000000"/>
          <w:sz w:val="28"/>
          <w:szCs w:val="20"/>
        </w:rPr>
      </w:pPr>
      <w:r w:rsidRPr="00C12E71">
        <w:rPr>
          <w:rFonts w:ascii="標楷體" w:eastAsia="標楷體" w:hAnsi="標楷體" w:hint="eastAsia"/>
          <w:color w:val="000000"/>
          <w:sz w:val="28"/>
          <w:szCs w:val="20"/>
        </w:rPr>
        <w:t>單純切除：一般良性骨腫瘤只需行單純性切除手術即可。部分復發率高的良性腫瘤，如巨大細胞瘤，可輔以液態氮或酚作局部化學性燒灼，降低腫瘤復發率。</w:t>
      </w:r>
    </w:p>
    <w:p w14:paraId="1B0F1564" w14:textId="3E48D271" w:rsidR="00EC6E36" w:rsidRPr="00C12E71" w:rsidRDefault="00EC6E36">
      <w:pPr>
        <w:numPr>
          <w:ilvl w:val="0"/>
          <w:numId w:val="8"/>
        </w:numPr>
        <w:spacing w:before="100" w:beforeAutospacing="1" w:after="240"/>
        <w:rPr>
          <w:rFonts w:ascii="標楷體" w:eastAsia="標楷體" w:hAnsi="標楷體"/>
          <w:color w:val="000000"/>
          <w:sz w:val="28"/>
          <w:szCs w:val="20"/>
        </w:rPr>
      </w:pPr>
      <w:r w:rsidRPr="00C12E71">
        <w:rPr>
          <w:rFonts w:ascii="標楷體" w:eastAsia="標楷體" w:hAnsi="標楷體" w:hint="eastAsia"/>
          <w:color w:val="000000"/>
          <w:sz w:val="28"/>
          <w:szCs w:val="20"/>
        </w:rPr>
        <w:t>廣泛切除及重建：惡性骨腫瘤以根除性廣泛切除手術為主，早期手術切除後缺損之骨骼常以腫瘤型人工關節或異體捐贈骨重建。隨著液態氮冰凍治療的應用突破，目前骨骼重建方式多傾向以</w:t>
      </w:r>
      <w:r w:rsidR="00044A21">
        <w:rPr>
          <w:rFonts w:ascii="標楷體" w:eastAsia="標楷體" w:hAnsi="標楷體" w:hint="eastAsia"/>
          <w:color w:val="000000"/>
          <w:sz w:val="28"/>
          <w:szCs w:val="20"/>
        </w:rPr>
        <w:t>生物性重建。生物性重建是主要以</w:t>
      </w:r>
      <w:r w:rsidRPr="00C12E71">
        <w:rPr>
          <w:rFonts w:ascii="標楷體" w:eastAsia="標楷體" w:hAnsi="標楷體" w:hint="eastAsia"/>
          <w:color w:val="000000"/>
          <w:sz w:val="28"/>
          <w:szCs w:val="20"/>
        </w:rPr>
        <w:t>自體</w:t>
      </w:r>
      <w:r w:rsidR="00044A21">
        <w:rPr>
          <w:rFonts w:ascii="標楷體" w:eastAsia="標楷體" w:hAnsi="標楷體" w:hint="eastAsia"/>
          <w:color w:val="000000"/>
          <w:sz w:val="28"/>
          <w:szCs w:val="20"/>
        </w:rPr>
        <w:t>腫瘤</w:t>
      </w:r>
      <w:r w:rsidRPr="00C12E71">
        <w:rPr>
          <w:rFonts w:ascii="標楷體" w:eastAsia="標楷體" w:hAnsi="標楷體" w:hint="eastAsia"/>
          <w:color w:val="000000"/>
          <w:sz w:val="28"/>
          <w:szCs w:val="20"/>
        </w:rPr>
        <w:t>骨經液態氮冰凍</w:t>
      </w:r>
      <w:r w:rsidR="00044A21">
        <w:rPr>
          <w:rFonts w:ascii="標楷體" w:eastAsia="標楷體" w:hAnsi="標楷體" w:hint="eastAsia"/>
          <w:color w:val="000000"/>
          <w:sz w:val="28"/>
          <w:szCs w:val="20"/>
        </w:rPr>
        <w:t>滅活</w:t>
      </w:r>
      <w:r w:rsidRPr="00C12E71">
        <w:rPr>
          <w:rFonts w:ascii="標楷體" w:eastAsia="標楷體" w:hAnsi="標楷體" w:hint="eastAsia"/>
          <w:color w:val="000000"/>
          <w:sz w:val="28"/>
          <w:szCs w:val="20"/>
        </w:rPr>
        <w:t>處理後，重新植入患者體內，如此可避免異體捐贈骨潛在感染的危險及人工關節使用壽命期限的問題。</w:t>
      </w:r>
    </w:p>
    <w:p w14:paraId="2CB45D2B" w14:textId="41A2AAC8" w:rsidR="00EC6E36" w:rsidRPr="00C12E71" w:rsidRDefault="00EC6E36">
      <w:pPr>
        <w:numPr>
          <w:ilvl w:val="0"/>
          <w:numId w:val="8"/>
        </w:numPr>
        <w:spacing w:before="100" w:beforeAutospacing="1" w:after="240"/>
        <w:rPr>
          <w:rFonts w:ascii="標楷體" w:eastAsia="標楷體" w:hAnsi="標楷體"/>
          <w:color w:val="000000"/>
          <w:sz w:val="28"/>
          <w:szCs w:val="20"/>
        </w:rPr>
      </w:pPr>
      <w:r w:rsidRPr="00C12E71">
        <w:rPr>
          <w:rFonts w:ascii="標楷體" w:eastAsia="標楷體" w:hAnsi="標楷體" w:hint="eastAsia"/>
          <w:color w:val="000000"/>
          <w:sz w:val="28"/>
          <w:szCs w:val="20"/>
        </w:rPr>
        <w:t>截肢手術：將患處肢體截除，目前此方式只有在延遲就醫、已無法保留肢體時才考慮。</w:t>
      </w:r>
    </w:p>
    <w:p w14:paraId="1E670B2C" w14:textId="77777777" w:rsidR="00EC6E36" w:rsidRPr="00C12E71" w:rsidRDefault="00EC6E36">
      <w:pPr>
        <w:numPr>
          <w:ilvl w:val="0"/>
          <w:numId w:val="7"/>
        </w:numPr>
        <w:spacing w:before="100" w:beforeAutospacing="1" w:after="240"/>
        <w:rPr>
          <w:rFonts w:ascii="標楷體" w:eastAsia="標楷體" w:hAnsi="標楷體"/>
          <w:sz w:val="28"/>
        </w:rPr>
      </w:pPr>
      <w:r w:rsidRPr="00C12E71">
        <w:rPr>
          <w:rFonts w:ascii="標楷體" w:eastAsia="標楷體" w:hAnsi="標楷體" w:hint="eastAsia"/>
          <w:sz w:val="28"/>
        </w:rPr>
        <w:lastRenderedPageBreak/>
        <w:t>放射線治療：俗稱電療。無法單純以放射線治療方式治癒骨瘤，只用於輔助部分對放射線敏感之惡性骨瘤，降低腫瘤復發及擴散。</w:t>
      </w:r>
    </w:p>
    <w:p w14:paraId="72245493" w14:textId="77777777" w:rsidR="00EC6E36" w:rsidRPr="00C12E71" w:rsidRDefault="00EC6E36">
      <w:pPr>
        <w:numPr>
          <w:ilvl w:val="0"/>
          <w:numId w:val="7"/>
        </w:numPr>
        <w:spacing w:before="100" w:beforeAutospacing="1" w:after="240"/>
        <w:rPr>
          <w:rFonts w:ascii="標楷體" w:eastAsia="標楷體" w:hAnsi="標楷體"/>
          <w:sz w:val="28"/>
          <w:szCs w:val="28"/>
        </w:rPr>
      </w:pPr>
      <w:r w:rsidRPr="00C12E71">
        <w:rPr>
          <w:rFonts w:ascii="標楷體" w:eastAsia="標楷體" w:hAnsi="標楷體" w:hint="eastAsia"/>
          <w:sz w:val="28"/>
          <w:szCs w:val="28"/>
        </w:rPr>
        <w:t>化學治療：利用藥物來抑制腫瘤之生長，一般與放射線照射與外科手術治療配合使用。但因毒性對其他正常細胞亦有破壞之副作用，故須依病人之情況由醫師決定。</w:t>
      </w:r>
    </w:p>
    <w:p w14:paraId="76CD7114" w14:textId="77777777" w:rsidR="00335444" w:rsidRPr="00C12E71" w:rsidRDefault="00EC6E36" w:rsidP="00C12E71">
      <w:pPr>
        <w:pStyle w:val="Web"/>
        <w:rPr>
          <w:rFonts w:ascii="標楷體" w:eastAsia="標楷體" w:hAnsi="標楷體"/>
          <w:sz w:val="28"/>
        </w:rPr>
      </w:pPr>
      <w:r w:rsidRPr="00C12E71">
        <w:rPr>
          <w:rFonts w:ascii="標楷體" w:eastAsia="標楷體" w:hAnsi="標楷體" w:hint="eastAsia"/>
          <w:color w:val="000000"/>
          <w:sz w:val="28"/>
          <w:szCs w:val="20"/>
        </w:rPr>
        <w:t xml:space="preserve">　　由於醫學的進步，已經使惡性骨癌經治療後，五年以上存活率由15～20％提高到60～70％。對於不能解釋之骨痛，應儘速就醫查明可能原因，不要忽略骨癌的可能性。如果能早期發現，早期治療，才可避免因截肢而失去肢體，甚至失去寶貴生命。</w:t>
      </w:r>
      <w:r w:rsidRPr="00C12E71">
        <w:rPr>
          <w:rFonts w:ascii="標楷體" w:eastAsia="標楷體" w:hAnsi="標楷體"/>
          <w:sz w:val="28"/>
        </w:rPr>
        <w:t xml:space="preserve"> </w:t>
      </w:r>
    </w:p>
    <w:sectPr w:rsidR="00335444" w:rsidRPr="00C12E71" w:rsidSect="00AC104F">
      <w:pgSz w:w="11906" w:h="16838"/>
      <w:pgMar w:top="1079" w:right="74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5375" w14:textId="77777777" w:rsidR="000A2E8E" w:rsidRDefault="000A2E8E" w:rsidP="003F4E92">
      <w:r>
        <w:separator/>
      </w:r>
    </w:p>
  </w:endnote>
  <w:endnote w:type="continuationSeparator" w:id="0">
    <w:p w14:paraId="090C7B10" w14:textId="77777777" w:rsidR="000A2E8E" w:rsidRDefault="000A2E8E" w:rsidP="003F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ACE9" w14:textId="77777777" w:rsidR="000A2E8E" w:rsidRDefault="000A2E8E" w:rsidP="003F4E92">
      <w:r>
        <w:separator/>
      </w:r>
    </w:p>
  </w:footnote>
  <w:footnote w:type="continuationSeparator" w:id="0">
    <w:p w14:paraId="688417A9" w14:textId="77777777" w:rsidR="000A2E8E" w:rsidRDefault="000A2E8E" w:rsidP="003F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AF3"/>
    <w:multiLevelType w:val="hybridMultilevel"/>
    <w:tmpl w:val="40348228"/>
    <w:lvl w:ilvl="0" w:tplc="DA7C7C78">
      <w:start w:val="1"/>
      <w:numFmt w:val="decimal"/>
      <w:lvlText w:val="%1."/>
      <w:lvlJc w:val="left"/>
      <w:pPr>
        <w:tabs>
          <w:tab w:val="num" w:pos="720"/>
        </w:tabs>
        <w:ind w:left="720" w:hanging="360"/>
      </w:pPr>
    </w:lvl>
    <w:lvl w:ilvl="1" w:tplc="8B0CD41C" w:tentative="1">
      <w:start w:val="1"/>
      <w:numFmt w:val="decimal"/>
      <w:lvlText w:val="%2."/>
      <w:lvlJc w:val="left"/>
      <w:pPr>
        <w:tabs>
          <w:tab w:val="num" w:pos="1440"/>
        </w:tabs>
        <w:ind w:left="1440" w:hanging="360"/>
      </w:pPr>
    </w:lvl>
    <w:lvl w:ilvl="2" w:tplc="B32668CE" w:tentative="1">
      <w:start w:val="1"/>
      <w:numFmt w:val="decimal"/>
      <w:lvlText w:val="%3."/>
      <w:lvlJc w:val="left"/>
      <w:pPr>
        <w:tabs>
          <w:tab w:val="num" w:pos="2160"/>
        </w:tabs>
        <w:ind w:left="2160" w:hanging="360"/>
      </w:pPr>
    </w:lvl>
    <w:lvl w:ilvl="3" w:tplc="0E203870" w:tentative="1">
      <w:start w:val="1"/>
      <w:numFmt w:val="decimal"/>
      <w:lvlText w:val="%4."/>
      <w:lvlJc w:val="left"/>
      <w:pPr>
        <w:tabs>
          <w:tab w:val="num" w:pos="2880"/>
        </w:tabs>
        <w:ind w:left="2880" w:hanging="360"/>
      </w:pPr>
    </w:lvl>
    <w:lvl w:ilvl="4" w:tplc="9120F64E" w:tentative="1">
      <w:start w:val="1"/>
      <w:numFmt w:val="decimal"/>
      <w:lvlText w:val="%5."/>
      <w:lvlJc w:val="left"/>
      <w:pPr>
        <w:tabs>
          <w:tab w:val="num" w:pos="3600"/>
        </w:tabs>
        <w:ind w:left="3600" w:hanging="360"/>
      </w:pPr>
    </w:lvl>
    <w:lvl w:ilvl="5" w:tplc="B72A762C" w:tentative="1">
      <w:start w:val="1"/>
      <w:numFmt w:val="decimal"/>
      <w:lvlText w:val="%6."/>
      <w:lvlJc w:val="left"/>
      <w:pPr>
        <w:tabs>
          <w:tab w:val="num" w:pos="4320"/>
        </w:tabs>
        <w:ind w:left="4320" w:hanging="360"/>
      </w:pPr>
    </w:lvl>
    <w:lvl w:ilvl="6" w:tplc="EFB8F20C" w:tentative="1">
      <w:start w:val="1"/>
      <w:numFmt w:val="decimal"/>
      <w:lvlText w:val="%7."/>
      <w:lvlJc w:val="left"/>
      <w:pPr>
        <w:tabs>
          <w:tab w:val="num" w:pos="5040"/>
        </w:tabs>
        <w:ind w:left="5040" w:hanging="360"/>
      </w:pPr>
    </w:lvl>
    <w:lvl w:ilvl="7" w:tplc="4192012C" w:tentative="1">
      <w:start w:val="1"/>
      <w:numFmt w:val="decimal"/>
      <w:lvlText w:val="%8."/>
      <w:lvlJc w:val="left"/>
      <w:pPr>
        <w:tabs>
          <w:tab w:val="num" w:pos="5760"/>
        </w:tabs>
        <w:ind w:left="5760" w:hanging="360"/>
      </w:pPr>
    </w:lvl>
    <w:lvl w:ilvl="8" w:tplc="6F269C2C" w:tentative="1">
      <w:start w:val="1"/>
      <w:numFmt w:val="decimal"/>
      <w:lvlText w:val="%9."/>
      <w:lvlJc w:val="left"/>
      <w:pPr>
        <w:tabs>
          <w:tab w:val="num" w:pos="6480"/>
        </w:tabs>
        <w:ind w:left="6480" w:hanging="360"/>
      </w:pPr>
    </w:lvl>
  </w:abstractNum>
  <w:abstractNum w:abstractNumId="1" w15:restartNumberingAfterBreak="0">
    <w:nsid w:val="20911F73"/>
    <w:multiLevelType w:val="hybridMultilevel"/>
    <w:tmpl w:val="7E26E41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A03678"/>
    <w:multiLevelType w:val="hybridMultilevel"/>
    <w:tmpl w:val="AE1CFC7C"/>
    <w:lvl w:ilvl="0" w:tplc="66868794">
      <w:start w:val="1"/>
      <w:numFmt w:val="decimal"/>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A890B4D"/>
    <w:multiLevelType w:val="hybridMultilevel"/>
    <w:tmpl w:val="62303204"/>
    <w:lvl w:ilvl="0" w:tplc="777440A2">
      <w:start w:val="1"/>
      <w:numFmt w:val="decimal"/>
      <w:lvlText w:val="%1."/>
      <w:lvlJc w:val="left"/>
      <w:pPr>
        <w:tabs>
          <w:tab w:val="num" w:pos="360"/>
        </w:tabs>
        <w:ind w:left="360" w:hanging="360"/>
      </w:p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52F0FD1"/>
    <w:multiLevelType w:val="hybridMultilevel"/>
    <w:tmpl w:val="15141044"/>
    <w:lvl w:ilvl="0" w:tplc="777440A2">
      <w:start w:val="1"/>
      <w:numFmt w:val="decimal"/>
      <w:lvlText w:val="%1."/>
      <w:lvlJc w:val="left"/>
      <w:pPr>
        <w:tabs>
          <w:tab w:val="num" w:pos="360"/>
        </w:tabs>
        <w:ind w:left="360" w:hanging="360"/>
      </w:p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55F563B0"/>
    <w:multiLevelType w:val="hybridMultilevel"/>
    <w:tmpl w:val="62303204"/>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E6C1DE9"/>
    <w:multiLevelType w:val="hybridMultilevel"/>
    <w:tmpl w:val="4C94507E"/>
    <w:lvl w:ilvl="0" w:tplc="777440A2">
      <w:start w:val="1"/>
      <w:numFmt w:val="decimal"/>
      <w:lvlText w:val="%1."/>
      <w:lvlJc w:val="left"/>
      <w:pPr>
        <w:tabs>
          <w:tab w:val="num" w:pos="720"/>
        </w:tabs>
        <w:ind w:left="720" w:hanging="360"/>
      </w:pPr>
    </w:lvl>
    <w:lvl w:ilvl="1" w:tplc="163A25DA" w:tentative="1">
      <w:start w:val="1"/>
      <w:numFmt w:val="decimal"/>
      <w:lvlText w:val="%2."/>
      <w:lvlJc w:val="left"/>
      <w:pPr>
        <w:tabs>
          <w:tab w:val="num" w:pos="1440"/>
        </w:tabs>
        <w:ind w:left="1440" w:hanging="360"/>
      </w:pPr>
    </w:lvl>
    <w:lvl w:ilvl="2" w:tplc="9BE4EE9A" w:tentative="1">
      <w:start w:val="1"/>
      <w:numFmt w:val="decimal"/>
      <w:lvlText w:val="%3."/>
      <w:lvlJc w:val="left"/>
      <w:pPr>
        <w:tabs>
          <w:tab w:val="num" w:pos="2160"/>
        </w:tabs>
        <w:ind w:left="2160" w:hanging="360"/>
      </w:pPr>
    </w:lvl>
    <w:lvl w:ilvl="3" w:tplc="4C361B9C" w:tentative="1">
      <w:start w:val="1"/>
      <w:numFmt w:val="decimal"/>
      <w:lvlText w:val="%4."/>
      <w:lvlJc w:val="left"/>
      <w:pPr>
        <w:tabs>
          <w:tab w:val="num" w:pos="2880"/>
        </w:tabs>
        <w:ind w:left="2880" w:hanging="360"/>
      </w:pPr>
    </w:lvl>
    <w:lvl w:ilvl="4" w:tplc="9850B966" w:tentative="1">
      <w:start w:val="1"/>
      <w:numFmt w:val="decimal"/>
      <w:lvlText w:val="%5."/>
      <w:lvlJc w:val="left"/>
      <w:pPr>
        <w:tabs>
          <w:tab w:val="num" w:pos="3600"/>
        </w:tabs>
        <w:ind w:left="3600" w:hanging="360"/>
      </w:pPr>
    </w:lvl>
    <w:lvl w:ilvl="5" w:tplc="EEC6D8AE" w:tentative="1">
      <w:start w:val="1"/>
      <w:numFmt w:val="decimal"/>
      <w:lvlText w:val="%6."/>
      <w:lvlJc w:val="left"/>
      <w:pPr>
        <w:tabs>
          <w:tab w:val="num" w:pos="4320"/>
        </w:tabs>
        <w:ind w:left="4320" w:hanging="360"/>
      </w:pPr>
    </w:lvl>
    <w:lvl w:ilvl="6" w:tplc="43CC6914" w:tentative="1">
      <w:start w:val="1"/>
      <w:numFmt w:val="decimal"/>
      <w:lvlText w:val="%7."/>
      <w:lvlJc w:val="left"/>
      <w:pPr>
        <w:tabs>
          <w:tab w:val="num" w:pos="5040"/>
        </w:tabs>
        <w:ind w:left="5040" w:hanging="360"/>
      </w:pPr>
    </w:lvl>
    <w:lvl w:ilvl="7" w:tplc="B0DEE7E2" w:tentative="1">
      <w:start w:val="1"/>
      <w:numFmt w:val="decimal"/>
      <w:lvlText w:val="%8."/>
      <w:lvlJc w:val="left"/>
      <w:pPr>
        <w:tabs>
          <w:tab w:val="num" w:pos="5760"/>
        </w:tabs>
        <w:ind w:left="5760" w:hanging="360"/>
      </w:pPr>
    </w:lvl>
    <w:lvl w:ilvl="8" w:tplc="6EA64CC2" w:tentative="1">
      <w:start w:val="1"/>
      <w:numFmt w:val="decimal"/>
      <w:lvlText w:val="%9."/>
      <w:lvlJc w:val="left"/>
      <w:pPr>
        <w:tabs>
          <w:tab w:val="num" w:pos="6480"/>
        </w:tabs>
        <w:ind w:left="6480" w:hanging="360"/>
      </w:pPr>
    </w:lvl>
  </w:abstractNum>
  <w:abstractNum w:abstractNumId="7" w15:restartNumberingAfterBreak="0">
    <w:nsid w:val="75D946FF"/>
    <w:multiLevelType w:val="hybridMultilevel"/>
    <w:tmpl w:val="AE1CFC7C"/>
    <w:lvl w:ilvl="0" w:tplc="0409000B">
      <w:start w:val="1"/>
      <w:numFmt w:val="bullet"/>
      <w:lvlText w:val=""/>
      <w:lvlJc w:val="left"/>
      <w:pPr>
        <w:tabs>
          <w:tab w:val="num" w:pos="1680"/>
        </w:tabs>
        <w:ind w:left="1680" w:hanging="480"/>
      </w:pPr>
      <w:rPr>
        <w:rFonts w:ascii="Wingdings" w:hAnsi="Wingdings" w:hint="default"/>
      </w:rPr>
    </w:lvl>
    <w:lvl w:ilvl="1" w:tplc="04090019">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66CF"/>
    <w:rsid w:val="00011666"/>
    <w:rsid w:val="000366CF"/>
    <w:rsid w:val="00044A21"/>
    <w:rsid w:val="000A2E8E"/>
    <w:rsid w:val="00335444"/>
    <w:rsid w:val="003F4E92"/>
    <w:rsid w:val="006F0145"/>
    <w:rsid w:val="007617CD"/>
    <w:rsid w:val="00AC104F"/>
    <w:rsid w:val="00C12E71"/>
    <w:rsid w:val="00E63092"/>
    <w:rsid w:val="00EC6E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D83C2"/>
  <w15:docId w15:val="{E25E4710-5FA2-4B78-B9A6-7096F5E2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10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104F"/>
    <w:rPr>
      <w:rFonts w:ascii="ө" w:eastAsia="細明體" w:hAnsi="ө"/>
      <w:color w:val="000000"/>
      <w:sz w:val="28"/>
      <w:szCs w:val="20"/>
    </w:rPr>
  </w:style>
  <w:style w:type="paragraph" w:styleId="Web">
    <w:name w:val="Normal (Web)"/>
    <w:basedOn w:val="a"/>
    <w:rsid w:val="00AC104F"/>
    <w:pPr>
      <w:spacing w:before="100" w:beforeAutospacing="1" w:after="100" w:afterAutospacing="1"/>
    </w:pPr>
    <w:rPr>
      <w:rFonts w:ascii="Arial Unicode MS" w:eastAsia="Arial Unicode MS" w:hAnsi="Arial Unicode MS" w:cs="Arial Unicode MS"/>
      <w:color w:val="6699CC"/>
    </w:rPr>
  </w:style>
  <w:style w:type="paragraph" w:styleId="a4">
    <w:name w:val="header"/>
    <w:basedOn w:val="a"/>
    <w:link w:val="a5"/>
    <w:rsid w:val="003F4E92"/>
    <w:pPr>
      <w:tabs>
        <w:tab w:val="center" w:pos="4153"/>
        <w:tab w:val="right" w:pos="8306"/>
      </w:tabs>
      <w:snapToGrid w:val="0"/>
    </w:pPr>
    <w:rPr>
      <w:sz w:val="20"/>
      <w:szCs w:val="20"/>
    </w:rPr>
  </w:style>
  <w:style w:type="character" w:customStyle="1" w:styleId="a5">
    <w:name w:val="頁首 字元"/>
    <w:basedOn w:val="a0"/>
    <w:link w:val="a4"/>
    <w:rsid w:val="003F4E92"/>
  </w:style>
  <w:style w:type="paragraph" w:styleId="a6">
    <w:name w:val="footer"/>
    <w:basedOn w:val="a"/>
    <w:link w:val="a7"/>
    <w:rsid w:val="003F4E92"/>
    <w:pPr>
      <w:tabs>
        <w:tab w:val="center" w:pos="4153"/>
        <w:tab w:val="right" w:pos="8306"/>
      </w:tabs>
      <w:snapToGrid w:val="0"/>
    </w:pPr>
    <w:rPr>
      <w:sz w:val="20"/>
      <w:szCs w:val="20"/>
    </w:rPr>
  </w:style>
  <w:style w:type="character" w:customStyle="1" w:styleId="a7">
    <w:name w:val="頁尾 字元"/>
    <w:basedOn w:val="a0"/>
    <w:link w:val="a6"/>
    <w:rsid w:val="003F4E92"/>
  </w:style>
  <w:style w:type="paragraph" w:styleId="a8">
    <w:name w:val="Balloon Text"/>
    <w:basedOn w:val="a"/>
    <w:link w:val="a9"/>
    <w:rsid w:val="006F0145"/>
    <w:rPr>
      <w:rFonts w:asciiTheme="majorHAnsi" w:eastAsiaTheme="majorEastAsia" w:hAnsiTheme="majorHAnsi" w:cstheme="majorBidi"/>
      <w:sz w:val="18"/>
      <w:szCs w:val="18"/>
    </w:rPr>
  </w:style>
  <w:style w:type="character" w:customStyle="1" w:styleId="a9">
    <w:name w:val="註解方塊文字 字元"/>
    <w:basedOn w:val="a0"/>
    <w:link w:val="a8"/>
    <w:rsid w:val="006F0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147</Words>
  <Characters>838</Characters>
  <Application>Microsoft Office Word</Application>
  <DocSecurity>0</DocSecurity>
  <Lines>6</Lines>
  <Paragraphs>1</Paragraphs>
  <ScaleCrop>false</ScaleCrop>
  <Company>vghks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骨頭也會長腫瘤</dc:title>
  <dc:creator>office</dc:creator>
  <cp:lastModifiedBy>善為 楊</cp:lastModifiedBy>
  <cp:revision>6</cp:revision>
  <dcterms:created xsi:type="dcterms:W3CDTF">2013-04-25T17:40:00Z</dcterms:created>
  <dcterms:modified xsi:type="dcterms:W3CDTF">2022-01-17T15:53:00Z</dcterms:modified>
</cp:coreProperties>
</file>