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17E9" w14:textId="77777777" w:rsidR="00ED47E3" w:rsidRDefault="00ED47E3"/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FD465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3B26EA3C" w:rsidR="00211E09" w:rsidRPr="00617BC2" w:rsidRDefault="00FD4652" w:rsidP="002B48B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D465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用於治療嚴重痤瘡之</w:t>
            </w:r>
            <w:r w:rsidR="00354DD3" w:rsidRPr="00354DD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r w:rsidR="00354DD3" w:rsidRPr="00354DD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isotretinoin</w:t>
            </w:r>
            <w:r w:rsidR="00354DD3" w:rsidRPr="00354DD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</w:t>
            </w: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br/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41B5849C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112</w:t>
            </w:r>
            <w:r w:rsidR="00977EF8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292EA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7</w:t>
            </w:r>
          </w:p>
        </w:tc>
      </w:tr>
      <w:tr w:rsidR="00211E09" w:rsidRPr="00617BC2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77777777" w:rsidR="00B36B52" w:rsidRPr="00617BC2" w:rsidRDefault="00DB417A" w:rsidP="002B48B5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417A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Isotretinoin</w:t>
            </w:r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30AC578A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FD4652" w:rsidRPr="00FD465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用於治療嚴重痤瘡之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DB417A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i</w:t>
            </w:r>
            <w:r w:rsidR="00DB417A" w:rsidRPr="00DB417A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sotretinoin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成分藥品許可證共</w:t>
            </w:r>
            <w:r w:rsidR="0002066B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2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14:paraId="76729A47" w14:textId="77777777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0B6800" w:rsidRPr="003652AC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https://mcp.fda.gov.tw/</w:t>
              </w:r>
            </w:hyperlink>
          </w:p>
        </w:tc>
      </w:tr>
      <w:tr w:rsidR="00211E09" w:rsidRPr="00617BC2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61E931E8" w:rsidR="00077D35" w:rsidRPr="00AF4CC7" w:rsidRDefault="00AF4CC7" w:rsidP="00077D35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傳統療法無效之嚴重痤瘡</w:t>
            </w:r>
            <w:r w:rsidR="007219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6C86A743" w:rsidR="007C4241" w:rsidRPr="00617BC2" w:rsidRDefault="00DF5601" w:rsidP="00DF560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all-trans retinoic acid (tretinoin)</w:t>
            </w:r>
            <w:r w:rsidR="00C87E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的立體異構物。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</w:t>
            </w:r>
            <w:r w:rsidR="00475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作用機轉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目前尚未</w:t>
            </w:r>
            <w:r w:rsidR="00F74F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闡明，但臨床上觀察到嚴重性痤瘡的改善是與抑制皮脂腺的活性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有關，且組織學上顯示皮脂腺縮小。此外，已證實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isotretinoin</w:t>
            </w:r>
            <w:r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具有皮膚抗發炎作用。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1EADA652" w14:textId="53B74723" w:rsidR="004639BF" w:rsidRDefault="00FA7AB4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023/4</w:t>
            </w:r>
            <w:r w:rsidR="003F448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/26</w:t>
            </w:r>
            <w:r w:rsidR="004222BF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英國</w:t>
            </w:r>
            <w:r w:rsidR="00885FE5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醫藥品管理局</w:t>
            </w:r>
            <w:r w:rsidR="00077D3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0532C1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Medicines and Healthcare products Regulatory Agency</w:t>
            </w:r>
            <w:r w:rsidR="00AF7979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, </w:t>
            </w:r>
            <w:r w:rsidR="004222BF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MHRA</w:t>
            </w:r>
            <w:r w:rsidR="00077D3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4639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發布</w:t>
            </w:r>
            <w:r w:rsid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安全資訊，</w:t>
            </w:r>
            <w:r w:rsidR="004D5B1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將針對</w:t>
            </w:r>
            <w:r w:rsidR="00FD4652" w:rsidRPr="00FD465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用於治療嚴重痤瘡之</w:t>
            </w:r>
            <w:r w:rsid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含</w:t>
            </w:r>
            <w:r w:rsid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="00C87E59"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 w:rsidR="00C87E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成分藥品</w:t>
            </w:r>
            <w:r w:rsidR="004D5B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潛在</w:t>
            </w:r>
            <w:r w:rsidR="00C87E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="004D5B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精神疾病不良反應及性功能障礙</w:t>
            </w:r>
            <w:r w:rsidR="00B57C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等風險，以及未滿</w:t>
            </w:r>
            <w:r w:rsidR="00B57C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  <w:r w:rsidR="00B57C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</w:t>
            </w:r>
            <w:r w:rsidR="006A7FC5" w:rsidRPr="006A7F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青少年</w:t>
            </w:r>
            <w:r w:rsidR="00B57C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需額外監督</w:t>
            </w:r>
            <w:r w:rsidR="004D5B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等採取新的管控措施</w:t>
            </w:r>
            <w:r w:rsid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6D24773" w14:textId="77777777" w:rsidR="00A01D57" w:rsidRPr="00A01D57" w:rsidRDefault="00280F43" w:rsidP="00A01D57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A01D57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  <w:hyperlink r:id="rId9" w:history="1">
              <w:r w:rsidR="00A27289" w:rsidRPr="00A27289">
                <w:rPr>
                  <w:rStyle w:val="ab"/>
                  <w:rFonts w:ascii="Times New Roman" w:hAnsi="Times New Roman"/>
                </w:rPr>
                <w:t>https://www.gov.uk/drug-safety-update/isotretinoin-roaccutanev-new-safety-measures-to-be-introduced-in-the-coming-months-including-additional-oversight-on-initiation-of-treatment-for-patients-under-18-years</w:t>
              </w:r>
            </w:hyperlink>
            <w:r w:rsidR="00A27289" w:rsidRPr="00A27289">
              <w:rPr>
                <w:rFonts w:ascii="Times New Roman" w:hAnsi="Times New Roman"/>
              </w:rPr>
              <w:t xml:space="preserve"> </w:t>
            </w:r>
          </w:p>
        </w:tc>
      </w:tr>
      <w:tr w:rsidR="004E33E0" w:rsidRPr="00617BC2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58898920" w14:textId="55D8A9CD" w:rsidR="0002066B" w:rsidRPr="0002066B" w:rsidRDefault="00964656" w:rsidP="00F0638A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英國</w:t>
            </w:r>
            <w:r w:rsidR="00EA7ABB" w:rsidRPr="00CD1F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人體藥物委員會</w:t>
            </w:r>
            <w:r w:rsidR="00077D3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EA7ABB" w:rsidRPr="00CD1F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Commission on Human Medicines</w:t>
            </w:r>
            <w:r w:rsidR="00AF79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,</w:t>
            </w:r>
            <w:r w:rsidR="00AF797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EA7ABB" w:rsidRPr="00CD1F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CHM</w:t>
            </w:r>
            <w:r w:rsidR="00077D3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2E3F9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060403" w:rsidRPr="00CD1F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="00060403" w:rsidRPr="00CD1F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 w:rsidR="00060403" w:rsidRPr="00CD1F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專家工作小組</w:t>
            </w:r>
            <w:r w:rsidR="002E3F9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944515" w:rsidRPr="00CD1F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</w:t>
            </w:r>
            <w:r w:rsidR="00CE522C" w:rsidRPr="00CD1F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="00CE522C" w:rsidRPr="00CD1F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 w:rsidR="000206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潛在</w:t>
            </w:r>
            <w:r w:rsidR="00CE522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 w:rsidR="00CE522C" w:rsidRPr="0096465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精神病</w:t>
            </w:r>
            <w:r w:rsidR="00CE522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</w:t>
            </w:r>
            <w:r w:rsidR="00CE522C" w:rsidRPr="0096465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與性功能障礙</w:t>
            </w:r>
            <w:r w:rsidR="00B45A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不良反應</w:t>
            </w:r>
            <w:r w:rsidR="000206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啟動安全性評估，評估後認為現有證據無法指出</w:t>
            </w:r>
            <w:r w:rsidR="0002066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="0002066B"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 w:rsidR="000206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確實會導致短期或長期的精神疾病和性功能障礙相關不良反應，然而病人和其家人之經驗仍持續造成用藥疑慮，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因此工作小組強調</w:t>
            </w:r>
            <w:r w:rsidR="00291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</w:t>
            </w:r>
            <w:r w:rsidR="00291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藥前應告知病人用藥風險、處方予</w:t>
            </w:r>
            <w:r w:rsidR="000D7A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未滿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</w:t>
            </w:r>
            <w:r w:rsidR="006A7FC5" w:rsidRPr="006A7F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青少年</w:t>
            </w:r>
            <w:r w:rsidR="00FD5D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需額外監督以及持續監測不良反應的必要性。</w:t>
            </w:r>
          </w:p>
          <w:p w14:paraId="791D1FE3" w14:textId="600BF6EC" w:rsidR="00CE6BBC" w:rsidRPr="00CE6BBC" w:rsidRDefault="006F5C82" w:rsidP="00F0638A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F5C8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英國醫藥品管理局</w:t>
            </w:r>
            <w:r w:rsidR="000206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將執行一系列措施以加強</w:t>
            </w:r>
            <w:r w:rsidR="0002066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="0002066B" w:rsidRPr="00DF560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 w:rsidR="000206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的安全使用：</w:t>
            </w:r>
          </w:p>
          <w:p w14:paraId="3CE2ACF0" w14:textId="0DB3A428" w:rsidR="00406BDF" w:rsidRPr="00266086" w:rsidRDefault="00406BDF" w:rsidP="00F0638A">
            <w:pPr>
              <w:pStyle w:val="a9"/>
              <w:widowControl/>
              <w:numPr>
                <w:ilvl w:val="2"/>
                <w:numId w:val="3"/>
              </w:numPr>
              <w:shd w:val="clear" w:color="auto" w:fill="FFFFFF"/>
              <w:ind w:leftChars="0" w:left="964" w:hanging="482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</w:t>
            </w:r>
            <w:r w:rsidRPr="00CD1F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sotretinoin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不應用於青春期前</w:t>
            </w:r>
            <w:r w:rsidRPr="008462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痤瘡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的治療，且不建議用於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歲以下孩童。針對</w:t>
            </w:r>
            <w:r w:rsidR="000D7A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未滿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</w:t>
            </w:r>
            <w:r w:rsidR="000D7A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病人使用</w:t>
            </w:r>
            <w:r>
              <w:rPr>
                <w:rFonts w:ascii="Times New Roman" w:hAnsi="Times New Roman"/>
                <w:color w:val="000000"/>
              </w:rPr>
              <w:t>isotretinoin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治療前，將要求需要兩位處方醫師共同同意病人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8462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痤瘡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嚴重到</w:t>
            </w:r>
            <w:r>
              <w:rPr>
                <w:rFonts w:ascii="標楷體" w:eastAsia="標楷體" w:hAnsi="標楷體" w:hint="eastAsia"/>
                <w:color w:val="000000"/>
              </w:rPr>
              <w:t>足以合理使用</w:t>
            </w:r>
            <w:r w:rsidRPr="007B2633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isotretinoin</w:t>
            </w:r>
            <w:r>
              <w:rPr>
                <w:rFonts w:ascii="標楷體" w:eastAsia="標楷體" w:hAnsi="標楷體" w:hint="eastAsia"/>
                <w:color w:val="000000"/>
              </w:rPr>
              <w:t>，且</w:t>
            </w:r>
            <w:r w:rsidR="00266086">
              <w:rPr>
                <w:rFonts w:ascii="標楷體" w:eastAsia="標楷體" w:hAnsi="標楷體" w:hint="eastAsia"/>
                <w:color w:val="000000"/>
              </w:rPr>
              <w:t>已</w:t>
            </w:r>
            <w:r>
              <w:rPr>
                <w:rFonts w:ascii="標楷體" w:eastAsia="標楷體" w:hAnsi="標楷體" w:hint="eastAsia"/>
                <w:color w:val="000000"/>
              </w:rPr>
              <w:t>充分嘗試其他標準療法仍無效。</w:t>
            </w:r>
          </w:p>
          <w:p w14:paraId="22C9F5FA" w14:textId="4CDDAA62" w:rsidR="00266086" w:rsidRPr="003908E0" w:rsidRDefault="00266086" w:rsidP="00F0638A">
            <w:pPr>
              <w:pStyle w:val="a9"/>
              <w:widowControl/>
              <w:numPr>
                <w:ilvl w:val="2"/>
                <w:numId w:val="3"/>
              </w:numPr>
              <w:shd w:val="clear" w:color="auto" w:fill="FFFFFF"/>
              <w:ind w:leftChars="0" w:left="960" w:hanging="48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Isotretinoin</w:t>
            </w:r>
            <w:r w:rsidR="00291E1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之</w:t>
            </w: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精神病症相關警語</w:t>
            </w: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：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曾有使用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isotretinoin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的病人發生憂鬱、焦慮及精神病症狀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3908E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psychotic symptoms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的案例被</w:t>
            </w:r>
            <w:r w:rsidR="0085608A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報，並曾有自殺死亡的案例。在開始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isotretinoin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治療前，處方者應</w:t>
            </w:r>
            <w:r w:rsidR="0085608A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充分告知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病人及其照護者可能的</w:t>
            </w:r>
            <w:r w:rsidRPr="003908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精神病症相關風險，包含尋求醫療協助之重要性</w:t>
            </w:r>
            <w:r w:rsidR="00EF6460" w:rsidRPr="003908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，並建議可請</w:t>
            </w:r>
            <w:r w:rsidR="00EF6460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家人和朋友協助注意病人是否出現精神疾病的潛在症狀。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所有使用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isotretinoin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的病人在開始治療前應進行心理健康的評估，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處方者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定期監測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是否出現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精神病症相關</w:t>
            </w:r>
            <w:r w:rsidR="00AE33C8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徵兆，並於必要時轉介適當治療。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另停用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isotretinoin</w:t>
            </w:r>
            <w:r w:rsidR="0076669E" w:rsidRPr="003908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可能無法有效緩減症狀，病人可能需進一步進行精神或心理評估。</w:t>
            </w:r>
          </w:p>
          <w:p w14:paraId="4C230CBA" w14:textId="1826457F" w:rsidR="00266086" w:rsidRPr="003908E0" w:rsidRDefault="00266086" w:rsidP="00F0638A">
            <w:pPr>
              <w:pStyle w:val="a9"/>
              <w:widowControl/>
              <w:numPr>
                <w:ilvl w:val="2"/>
                <w:numId w:val="3"/>
              </w:numPr>
              <w:shd w:val="clear" w:color="auto" w:fill="FFFFFF"/>
              <w:ind w:leftChars="0" w:left="964" w:hanging="482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Isotretinoin</w:t>
            </w:r>
            <w:r w:rsidR="00063176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之</w:t>
            </w: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性功能障礙</w:t>
            </w:r>
            <w:r w:rsidR="00063176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相關</w:t>
            </w: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  <w:u w:val="single"/>
              </w:rPr>
              <w:t>警語</w:t>
            </w:r>
            <w:r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：</w:t>
            </w:r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r w:rsidR="0076669E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i</w:t>
            </w:r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sotretinoin</w:t>
            </w:r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可能與性功能障礙有關，曾被通報的相關不良反應包含</w:t>
            </w:r>
            <w:proofErr w:type="gramStart"/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勃</w:t>
            </w:r>
            <w:proofErr w:type="gramEnd"/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起功能障礙、性慾降低</w:t>
            </w:r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、外陰</w:t>
            </w:r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陰道</w:t>
            </w:r>
            <w:proofErr w:type="gramStart"/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乾燥</w:t>
            </w:r>
            <w:proofErr w:type="gramEnd"/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、高潮困難及生殖器感覺遲鈍</w:t>
            </w:r>
            <w:r w:rsidR="0076669E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  <w:r w:rsidR="004451BC" w:rsidRPr="004451B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曾有停藥後症狀仍持續的長期性功能障礙案例被</w:t>
            </w:r>
            <w:r w:rsidR="0085608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通</w:t>
            </w:r>
            <w:r w:rsidR="004451BC" w:rsidRPr="004451B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報。</w:t>
            </w:r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在開始</w:t>
            </w:r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治療前，處方者應詢問病人</w:t>
            </w:r>
            <w:r w:rsidR="00570A9A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目前是否有性功能障礙相關症狀和徵兆，並於治療期間監測病人是否出現新的病徵。在選擇最適當的諮詢方式時應考量病人的年齡和成熟度，包含</w:t>
            </w:r>
            <w:r w:rsidR="00A834E6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視情況</w:t>
            </w:r>
            <w:r w:rsidR="00570A9A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選擇在沒有父母或照護者在場的情況下</w:t>
            </w:r>
            <w:r w:rsidR="00A834E6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與病人</w:t>
            </w:r>
            <w:r w:rsidR="00570A9A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進行討論</w:t>
            </w:r>
            <w:r w:rsidR="004451BC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55F5F9BC" w14:textId="6BDFA8FB" w:rsidR="007A48AF" w:rsidRPr="00AC20FD" w:rsidRDefault="00292EA5" w:rsidP="00F0638A">
            <w:pPr>
              <w:pStyle w:val="a9"/>
              <w:widowControl/>
              <w:numPr>
                <w:ilvl w:val="2"/>
                <w:numId w:val="3"/>
              </w:numPr>
              <w:shd w:val="clear" w:color="auto" w:fill="FFFFFF"/>
              <w:ind w:leftChars="0" w:left="964" w:hanging="482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英國醫藥品管理局</w:t>
            </w:r>
            <w:r w:rsidR="00063176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現正更新</w:t>
            </w:r>
            <w:r w:rsidR="0085608A" w:rsidRPr="00AC20F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i</w:t>
            </w:r>
            <w:r w:rsidR="00A834E6" w:rsidRPr="003908E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sotretinoin</w:t>
            </w:r>
            <w:r w:rsidR="00A834E6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仿單以包含前述新的處方</w:t>
            </w:r>
            <w:r w:rsidR="0085608A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要</w:t>
            </w:r>
            <w:r w:rsidR="00A834E6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求及風險警語</w:t>
            </w:r>
            <w:r w:rsidR="00063176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等</w:t>
            </w:r>
            <w:r w:rsidR="00A834E6" w:rsidRPr="00AC20F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相關資訊。</w:t>
            </w:r>
          </w:p>
        </w:tc>
      </w:tr>
      <w:tr w:rsidR="007E2B40" w:rsidRPr="00617BC2" w14:paraId="74E63F8B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4EF4C54" w14:textId="77777777" w:rsidR="007E2B40" w:rsidRPr="00617BC2" w:rsidRDefault="007E2B40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16" w:type="dxa"/>
          </w:tcPr>
          <w:p w14:paraId="57AC583E" w14:textId="78D77D31" w:rsidR="00945DBB" w:rsidRPr="00B86A1D" w:rsidRDefault="00945DBB" w:rsidP="00F0638A">
            <w:pPr>
              <w:widowControl/>
              <w:numPr>
                <w:ilvl w:val="1"/>
                <w:numId w:val="1"/>
              </w:numPr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86A1D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09C216AC" w14:textId="77777777" w:rsidR="00945DBB" w:rsidRDefault="00945DBB" w:rsidP="00F0638A">
            <w:pPr>
              <w:widowControl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經查，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我國曾於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95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年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8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月發布新聞稿提醒患者服用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應嚴格進行避孕措施，並於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108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月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完成與致</w:t>
            </w:r>
            <w:proofErr w:type="gramStart"/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畸</w:t>
            </w:r>
            <w:proofErr w:type="gramEnd"/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胎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精神相關疾病</w:t>
            </w:r>
            <w:r w:rsidRPr="000B693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相關風險之再評估作業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BA90B35" w14:textId="71B35A72" w:rsidR="00945DBB" w:rsidRPr="00EA34C4" w:rsidRDefault="00945DBB" w:rsidP="00F0638A">
            <w:pPr>
              <w:widowControl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次查，我國核准</w:t>
            </w:r>
            <w:r w:rsidR="00FD465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用於治療嚴重</w:t>
            </w:r>
            <w:r w:rsidR="00FD4652" w:rsidRPr="00C43D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痤瘡</w:t>
            </w:r>
            <w:r w:rsidR="00FD4652" w:rsidRPr="00EA34C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含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</w:t>
            </w:r>
            <w:r w:rsidR="009E5266" w:rsidRPr="00EA34C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許可證共</w:t>
            </w:r>
            <w:r w:rsidR="00C43D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2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張</w:t>
            </w:r>
            <w:r w:rsidR="00C43D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，核准之適應症為「</w:t>
            </w:r>
            <w:r w:rsidR="00C43D8B" w:rsidRPr="00C43D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傳統療法無效之嚴重痤瘡</w:t>
            </w:r>
            <w:r w:rsidR="00C43D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」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，其</w:t>
            </w:r>
            <w:r w:rsidR="00192644"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中文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仿單於「</w:t>
            </w:r>
            <w:r w:rsidRPr="006905C6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Cs w:val="24"/>
                <w:u w:val="single"/>
              </w:rPr>
              <w:t>警告及注意事項</w:t>
            </w:r>
            <w:r w:rsidRPr="00EA34C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」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處刊載「</w:t>
            </w:r>
            <w:r w:rsidR="00925C47">
              <w:rPr>
                <w:rFonts w:ascii="標楷體" w:eastAsia="標楷體" w:hAnsi="標楷體" w:hint="eastAsia"/>
                <w:b/>
                <w:bCs/>
                <w:color w:val="212121"/>
                <w:shd w:val="clear" w:color="auto" w:fill="FFFFFF"/>
              </w:rPr>
              <w:t>精神疾病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：在使用</w:t>
            </w:r>
            <w:proofErr w:type="gramStart"/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羅可坦</w:t>
            </w:r>
            <w:proofErr w:type="gramEnd"/>
            <w:r w:rsidR="00925C47">
              <w:rPr>
                <w:rFonts w:ascii="Times New Roman" w:hAnsi="Times New Roman"/>
                <w:color w:val="212121"/>
                <w:shd w:val="clear" w:color="auto" w:fill="FFFFFF"/>
                <w:vertAlign w:val="superscript"/>
              </w:rPr>
              <w:t>®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治療的患者中，曾有發生憂鬱症及精神病症狀的報告，此外也有出現自殺意圖及自殺行為的報告，但極為罕見。」；於「</w:t>
            </w:r>
            <w:r w:rsidR="00925C47">
              <w:rPr>
                <w:rFonts w:ascii="標楷體" w:eastAsia="標楷體" w:hAnsi="標楷體" w:hint="eastAsia"/>
                <w:b/>
                <w:bCs/>
                <w:color w:val="212121"/>
                <w:u w:val="single"/>
                <w:shd w:val="clear" w:color="auto" w:fill="FFFFFF"/>
              </w:rPr>
              <w:t>不良反應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」處刊載「</w:t>
            </w:r>
            <w:r w:rsidR="00925C47">
              <w:rPr>
                <w:rFonts w:ascii="標楷體" w:eastAsia="標楷體" w:hAnsi="標楷體" w:hint="eastAsia"/>
                <w:b/>
                <w:bCs/>
                <w:color w:val="212121"/>
                <w:shd w:val="clear" w:color="auto" w:fill="FFFFFF"/>
              </w:rPr>
              <w:t>精神和中樞神經系統異常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：行為異常、鬱症、自殺意圖、自殺、頭痛、顱內壓上升</w:t>
            </w:r>
            <w:r w:rsidR="00925C47">
              <w:rPr>
                <w:rFonts w:ascii="Times New Roman" w:hAnsi="Times New Roman"/>
                <w:color w:val="212121"/>
                <w:shd w:val="clear" w:color="auto" w:fill="FFFFFF"/>
              </w:rPr>
              <w:t>(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假性腦瘤</w:t>
            </w:r>
            <w:r w:rsidR="00925C47">
              <w:rPr>
                <w:rFonts w:ascii="Times New Roman" w:hAnsi="Times New Roman"/>
                <w:color w:val="212121"/>
                <w:shd w:val="clear" w:color="auto" w:fill="FFFFFF"/>
              </w:rPr>
              <w:t>)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、及癲癇發作。雖然其間的因果關係尚未確立，對有憂鬱症病史的患者仍應特別注意，對所有的患者也都應監視其是否出現憂鬱症的徵兆，必要時並應轉</w:t>
            </w:r>
            <w:proofErr w:type="gramStart"/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介</w:t>
            </w:r>
            <w:proofErr w:type="gramEnd"/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接受適當的治療」</w:t>
            </w:r>
            <w:r w:rsidR="00C43D8B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等相關安全資訊，</w:t>
            </w:r>
            <w:r w:rsidR="00925C47">
              <w:rPr>
                <w:rFonts w:ascii="標楷體" w:eastAsia="標楷體" w:hAnsi="標楷體" w:hint="eastAsia"/>
                <w:b/>
                <w:bCs/>
                <w:color w:val="212121"/>
                <w:u w:val="single"/>
                <w:shd w:val="clear" w:color="auto" w:fill="FFFFFF"/>
              </w:rPr>
              <w:t>惟未刊載性功能障礙風險及</w:t>
            </w:r>
            <w:r w:rsidR="000D7AF4" w:rsidRPr="000D7AF4">
              <w:rPr>
                <w:rFonts w:ascii="標楷體" w:eastAsia="標楷體" w:hAnsi="標楷體" w:hint="eastAsia"/>
                <w:b/>
                <w:bCs/>
                <w:color w:val="212121"/>
                <w:u w:val="single"/>
                <w:shd w:val="clear" w:color="auto" w:fill="FFFFFF"/>
              </w:rPr>
              <w:t>未滿</w:t>
            </w:r>
            <w:r w:rsidR="00925C47">
              <w:rPr>
                <w:rFonts w:ascii="Times New Roman" w:hAnsi="Times New Roman"/>
                <w:b/>
                <w:bCs/>
                <w:color w:val="212121"/>
                <w:u w:val="single"/>
                <w:shd w:val="clear" w:color="auto" w:fill="FFFFFF"/>
              </w:rPr>
              <w:t>18</w:t>
            </w:r>
            <w:r w:rsidR="00925C47">
              <w:rPr>
                <w:rFonts w:ascii="標楷體" w:eastAsia="標楷體" w:hAnsi="標楷體" w:hint="eastAsia"/>
                <w:b/>
                <w:bCs/>
                <w:color w:val="212121"/>
                <w:u w:val="single"/>
                <w:shd w:val="clear" w:color="auto" w:fill="FFFFFF"/>
              </w:rPr>
              <w:t>歲使用該藥品之額外管控措施等相關安全性資訊</w:t>
            </w:r>
            <w:r w:rsidR="00925C47">
              <w:rPr>
                <w:rFonts w:ascii="標楷體" w:eastAsia="標楷體" w:hAnsi="標楷體" w:hint="eastAsia"/>
                <w:color w:val="212121"/>
                <w:shd w:val="clear" w:color="auto" w:fill="FFFFFF"/>
              </w:rPr>
              <w:t>。</w:t>
            </w:r>
          </w:p>
          <w:p w14:paraId="2B99D174" w14:textId="5747CCD7" w:rsidR="00945DBB" w:rsidRPr="007F4D35" w:rsidRDefault="00945DBB" w:rsidP="00F0638A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proofErr w:type="gramStart"/>
            <w:r w:rsidRPr="007F4D3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現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正</w:t>
            </w:r>
            <w:r w:rsidRPr="007F4D3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評估是否針對該藥品採取進一步風險管控措施。</w:t>
            </w:r>
          </w:p>
          <w:p w14:paraId="35DD1504" w14:textId="0EBE6EEB" w:rsidR="007E2B40" w:rsidRPr="003908E0" w:rsidRDefault="007E2B40" w:rsidP="00F0638A">
            <w:pPr>
              <w:widowControl/>
              <w:numPr>
                <w:ilvl w:val="1"/>
                <w:numId w:val="1"/>
              </w:numPr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3908E0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醫療人員應注意事項：</w:t>
            </w:r>
          </w:p>
          <w:p w14:paraId="7D7C1770" w14:textId="6B61686F" w:rsidR="007E2B40" w:rsidRDefault="007E2B40" w:rsidP="00F0638A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口服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適用於對全身性抗生素及局部外用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之標準療法無法產生療效的嚴重痤瘡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（</w:t>
            </w:r>
            <w:proofErr w:type="gramEnd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例如：結節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性</w:t>
            </w:r>
            <w:proofErr w:type="gramStart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或囊胞型</w:t>
            </w:r>
            <w:proofErr w:type="gramEnd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痤瘡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應由皮膚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專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科醫師處方此類藥品，並監測病人狀況。</w:t>
            </w:r>
          </w:p>
          <w:p w14:paraId="1C9C0D7D" w14:textId="12F04FB5" w:rsidR="007E2B40" w:rsidRPr="00590C74" w:rsidRDefault="007E2B40" w:rsidP="00F0638A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90C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處方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Pr="00590C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時應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充分</w:t>
            </w:r>
            <w:r w:rsidRPr="00590C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告知病人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該藥品的潛在風險及預期的臨床效益</w:t>
            </w:r>
            <w:r w:rsidRPr="00590C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29BE3A2C" w14:textId="77777777" w:rsidR="007E2B40" w:rsidRDefault="007E2B40" w:rsidP="00F0638A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在開始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治療前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建議評估病人的心理健康和性功能狀態，並於用藥期間監測病人是否出現新的症狀或徵兆。</w:t>
            </w:r>
          </w:p>
          <w:p w14:paraId="4C0E626D" w14:textId="7D3137EE" w:rsidR="007E2B40" w:rsidRPr="006905C6" w:rsidRDefault="007E2B40" w:rsidP="00F0638A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lastRenderedPageBreak/>
              <w:t>告知病人若感覺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心理健康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或性功能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受影響或惡化時應尋求醫療協助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；亦應告知發生嚴重不良反應的病人需停藥並尋求緊急醫療協助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5EE2CC82" w14:textId="77777777" w:rsidR="007E2B40" w:rsidRPr="003908E0" w:rsidRDefault="007E2B40" w:rsidP="00F0638A">
            <w:pPr>
              <w:widowControl/>
              <w:numPr>
                <w:ilvl w:val="1"/>
                <w:numId w:val="1"/>
              </w:numPr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3908E0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病人應注意事項：</w:t>
            </w:r>
          </w:p>
          <w:p w14:paraId="3DCC910F" w14:textId="71EE3C7A" w:rsidR="007E2B40" w:rsidRDefault="007E2B40" w:rsidP="00F0638A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您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有任何精神疾病相關病史及家族史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，或是有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性功能障礙相關病史，請於開始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isotretinoin</w:t>
            </w:r>
            <w:r w:rsidR="0084196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口服</w:t>
            </w:r>
            <w:bookmarkStart w:id="0" w:name="_GoBack"/>
            <w:bookmarkEnd w:id="0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藥品治療前告知醫療人員。若於服藥後感覺心理健康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或性功能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受影響或惡化應尋求醫療協助。</w:t>
            </w:r>
          </w:p>
          <w:p w14:paraId="6AF47F88" w14:textId="55E76D97" w:rsidR="007E2B40" w:rsidRPr="003908E0" w:rsidRDefault="007E2B40" w:rsidP="00F0638A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若對於用藥有任何的疑問，請諮詢醫療人員。</w:t>
            </w:r>
          </w:p>
          <w:p w14:paraId="6B4FF13A" w14:textId="40CD7F84" w:rsidR="007E2B40" w:rsidRPr="0010568D" w:rsidRDefault="007E2B40" w:rsidP="00F0638A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10" w:history="1">
              <w:r w:rsidRPr="0010568D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10568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718474D6" w14:textId="77777777" w:rsidR="00F53CD7" w:rsidRPr="00A34014" w:rsidRDefault="00F53CD7" w:rsidP="00C1396D"/>
    <w:sectPr w:rsidR="00F53CD7" w:rsidRPr="00A34014" w:rsidSect="0005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84C3" w14:textId="77777777" w:rsidR="00F94741" w:rsidRDefault="00F94741" w:rsidP="003B56BC">
      <w:r>
        <w:separator/>
      </w:r>
    </w:p>
  </w:endnote>
  <w:endnote w:type="continuationSeparator" w:id="0">
    <w:p w14:paraId="229128BA" w14:textId="77777777" w:rsidR="00F94741" w:rsidRDefault="00F94741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3898" w14:textId="77777777" w:rsidR="00F94741" w:rsidRDefault="00F94741" w:rsidP="003B56BC">
      <w:r>
        <w:separator/>
      </w:r>
    </w:p>
  </w:footnote>
  <w:footnote w:type="continuationSeparator" w:id="0">
    <w:p w14:paraId="63893972" w14:textId="77777777" w:rsidR="00F94741" w:rsidRDefault="00F94741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D1C07"/>
    <w:multiLevelType w:val="hybridMultilevel"/>
    <w:tmpl w:val="1C487FB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B0B10"/>
    <w:multiLevelType w:val="hybridMultilevel"/>
    <w:tmpl w:val="9D74D68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55B7D"/>
    <w:multiLevelType w:val="hybridMultilevel"/>
    <w:tmpl w:val="9D74D68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FAA8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566"/>
    <w:rsid w:val="00024EB8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D01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41D6"/>
    <w:rsid w:val="000846C5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6F95"/>
    <w:rsid w:val="000D7AF4"/>
    <w:rsid w:val="000E041F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68D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AB9"/>
    <w:rsid w:val="00162D57"/>
    <w:rsid w:val="00163D1F"/>
    <w:rsid w:val="00167294"/>
    <w:rsid w:val="0016739C"/>
    <w:rsid w:val="00171230"/>
    <w:rsid w:val="0017168C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644"/>
    <w:rsid w:val="00192DA3"/>
    <w:rsid w:val="001938C0"/>
    <w:rsid w:val="0019414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3280"/>
    <w:rsid w:val="001A3CD6"/>
    <w:rsid w:val="001A5323"/>
    <w:rsid w:val="001A5911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C0186"/>
    <w:rsid w:val="001C0974"/>
    <w:rsid w:val="001C0BC6"/>
    <w:rsid w:val="001C2425"/>
    <w:rsid w:val="001C353D"/>
    <w:rsid w:val="001C3825"/>
    <w:rsid w:val="001C5A1B"/>
    <w:rsid w:val="001C6640"/>
    <w:rsid w:val="001C673A"/>
    <w:rsid w:val="001C7EBC"/>
    <w:rsid w:val="001D0087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9F1"/>
    <w:rsid w:val="001F3DF7"/>
    <w:rsid w:val="001F47D0"/>
    <w:rsid w:val="001F67CC"/>
    <w:rsid w:val="001F71B9"/>
    <w:rsid w:val="001F7C2B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10D32"/>
    <w:rsid w:val="00211E09"/>
    <w:rsid w:val="0021279D"/>
    <w:rsid w:val="0021280B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E37"/>
    <w:rsid w:val="0022274A"/>
    <w:rsid w:val="002243F5"/>
    <w:rsid w:val="00224736"/>
    <w:rsid w:val="00224D42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FBA"/>
    <w:rsid w:val="00254393"/>
    <w:rsid w:val="00255E33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90A11"/>
    <w:rsid w:val="002911B5"/>
    <w:rsid w:val="00291E1C"/>
    <w:rsid w:val="00292D9D"/>
    <w:rsid w:val="00292EA5"/>
    <w:rsid w:val="00293CC3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51D4"/>
    <w:rsid w:val="00345AEB"/>
    <w:rsid w:val="00345BF5"/>
    <w:rsid w:val="00346490"/>
    <w:rsid w:val="003466E5"/>
    <w:rsid w:val="00350563"/>
    <w:rsid w:val="00354389"/>
    <w:rsid w:val="00354DD3"/>
    <w:rsid w:val="00354E06"/>
    <w:rsid w:val="003565AD"/>
    <w:rsid w:val="003577D0"/>
    <w:rsid w:val="00357EF8"/>
    <w:rsid w:val="00360BBF"/>
    <w:rsid w:val="00361463"/>
    <w:rsid w:val="00362C26"/>
    <w:rsid w:val="003636F3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C17"/>
    <w:rsid w:val="003908E0"/>
    <w:rsid w:val="00390CFB"/>
    <w:rsid w:val="00391418"/>
    <w:rsid w:val="0039269B"/>
    <w:rsid w:val="00393EE2"/>
    <w:rsid w:val="00394AAE"/>
    <w:rsid w:val="00394D72"/>
    <w:rsid w:val="003970A4"/>
    <w:rsid w:val="003A2F46"/>
    <w:rsid w:val="003A350C"/>
    <w:rsid w:val="003A4120"/>
    <w:rsid w:val="003A63A0"/>
    <w:rsid w:val="003B1179"/>
    <w:rsid w:val="003B36A0"/>
    <w:rsid w:val="003B4941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6D2"/>
    <w:rsid w:val="003D6ADC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4482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78E"/>
    <w:rsid w:val="0044486B"/>
    <w:rsid w:val="004451BC"/>
    <w:rsid w:val="0044581D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32E3"/>
    <w:rsid w:val="004534F6"/>
    <w:rsid w:val="0045392F"/>
    <w:rsid w:val="00453A37"/>
    <w:rsid w:val="00453B24"/>
    <w:rsid w:val="004559E9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7A3"/>
    <w:rsid w:val="00473389"/>
    <w:rsid w:val="00473D58"/>
    <w:rsid w:val="004744EF"/>
    <w:rsid w:val="00474632"/>
    <w:rsid w:val="004753F7"/>
    <w:rsid w:val="004755FD"/>
    <w:rsid w:val="004760E4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4350"/>
    <w:rsid w:val="004948DF"/>
    <w:rsid w:val="00494B0B"/>
    <w:rsid w:val="004956BA"/>
    <w:rsid w:val="00496BFB"/>
    <w:rsid w:val="0049734A"/>
    <w:rsid w:val="004A04B5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2D9"/>
    <w:rsid w:val="004B354D"/>
    <w:rsid w:val="004B3ACB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7B06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DA3"/>
    <w:rsid w:val="00527099"/>
    <w:rsid w:val="00527D7C"/>
    <w:rsid w:val="00530293"/>
    <w:rsid w:val="00530FC5"/>
    <w:rsid w:val="00531AA9"/>
    <w:rsid w:val="00533567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41B0"/>
    <w:rsid w:val="0054426E"/>
    <w:rsid w:val="00544659"/>
    <w:rsid w:val="00544E7E"/>
    <w:rsid w:val="00545618"/>
    <w:rsid w:val="00545E85"/>
    <w:rsid w:val="0054607A"/>
    <w:rsid w:val="0055146D"/>
    <w:rsid w:val="0055218E"/>
    <w:rsid w:val="0055264E"/>
    <w:rsid w:val="005529AD"/>
    <w:rsid w:val="00552AE1"/>
    <w:rsid w:val="00552B7C"/>
    <w:rsid w:val="00552E14"/>
    <w:rsid w:val="00555AE6"/>
    <w:rsid w:val="00556670"/>
    <w:rsid w:val="00556EAF"/>
    <w:rsid w:val="005605A8"/>
    <w:rsid w:val="005611EF"/>
    <w:rsid w:val="00561A05"/>
    <w:rsid w:val="0056213B"/>
    <w:rsid w:val="00564ABB"/>
    <w:rsid w:val="00564DC2"/>
    <w:rsid w:val="00565472"/>
    <w:rsid w:val="00566666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4C75"/>
    <w:rsid w:val="005A5755"/>
    <w:rsid w:val="005A5EAE"/>
    <w:rsid w:val="005A6C3C"/>
    <w:rsid w:val="005A78FB"/>
    <w:rsid w:val="005B0483"/>
    <w:rsid w:val="005B2B65"/>
    <w:rsid w:val="005B3F6D"/>
    <w:rsid w:val="005B4CC3"/>
    <w:rsid w:val="005B50D1"/>
    <w:rsid w:val="005B6D74"/>
    <w:rsid w:val="005B7BFB"/>
    <w:rsid w:val="005C11BE"/>
    <w:rsid w:val="005C1444"/>
    <w:rsid w:val="005C434D"/>
    <w:rsid w:val="005C5E03"/>
    <w:rsid w:val="005D10B5"/>
    <w:rsid w:val="005D1FDB"/>
    <w:rsid w:val="005D339D"/>
    <w:rsid w:val="005D7764"/>
    <w:rsid w:val="005E00EE"/>
    <w:rsid w:val="005E059D"/>
    <w:rsid w:val="005E13B0"/>
    <w:rsid w:val="005E23F8"/>
    <w:rsid w:val="005E271F"/>
    <w:rsid w:val="005E3BF1"/>
    <w:rsid w:val="005E3DD3"/>
    <w:rsid w:val="005E4ADF"/>
    <w:rsid w:val="005E62F4"/>
    <w:rsid w:val="005F0E43"/>
    <w:rsid w:val="005F0F5B"/>
    <w:rsid w:val="005F1805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5170"/>
    <w:rsid w:val="00605EDA"/>
    <w:rsid w:val="006061D0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8CF"/>
    <w:rsid w:val="00625956"/>
    <w:rsid w:val="00625AB8"/>
    <w:rsid w:val="00626329"/>
    <w:rsid w:val="00626450"/>
    <w:rsid w:val="00626955"/>
    <w:rsid w:val="00631223"/>
    <w:rsid w:val="00631BCC"/>
    <w:rsid w:val="00633381"/>
    <w:rsid w:val="00633EA6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7225"/>
    <w:rsid w:val="006600E7"/>
    <w:rsid w:val="00660797"/>
    <w:rsid w:val="00660B6C"/>
    <w:rsid w:val="00660DA2"/>
    <w:rsid w:val="006612E3"/>
    <w:rsid w:val="00663FF5"/>
    <w:rsid w:val="0066414C"/>
    <w:rsid w:val="00664BDC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026"/>
    <w:rsid w:val="0069042B"/>
    <w:rsid w:val="0069046F"/>
    <w:rsid w:val="006905C6"/>
    <w:rsid w:val="0069200B"/>
    <w:rsid w:val="00692E10"/>
    <w:rsid w:val="00694B98"/>
    <w:rsid w:val="00696320"/>
    <w:rsid w:val="00697722"/>
    <w:rsid w:val="00697C47"/>
    <w:rsid w:val="006A064D"/>
    <w:rsid w:val="006A0FB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A7FC5"/>
    <w:rsid w:val="006B1BDD"/>
    <w:rsid w:val="006B2E8F"/>
    <w:rsid w:val="006B37A4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685F"/>
    <w:rsid w:val="006C6FC3"/>
    <w:rsid w:val="006D1E5B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4462"/>
    <w:rsid w:val="006F50D5"/>
    <w:rsid w:val="006F5502"/>
    <w:rsid w:val="006F5C17"/>
    <w:rsid w:val="006F5C82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334C5"/>
    <w:rsid w:val="00733FED"/>
    <w:rsid w:val="00734F6B"/>
    <w:rsid w:val="0073501F"/>
    <w:rsid w:val="00736236"/>
    <w:rsid w:val="00736A57"/>
    <w:rsid w:val="00736C4C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7B6F"/>
    <w:rsid w:val="0076068F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654"/>
    <w:rsid w:val="007831D8"/>
    <w:rsid w:val="00783F20"/>
    <w:rsid w:val="00784401"/>
    <w:rsid w:val="00785663"/>
    <w:rsid w:val="00785746"/>
    <w:rsid w:val="00785F75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DBB"/>
    <w:rsid w:val="007A358C"/>
    <w:rsid w:val="007A3955"/>
    <w:rsid w:val="007A48AF"/>
    <w:rsid w:val="007A4CAF"/>
    <w:rsid w:val="007A5BF4"/>
    <w:rsid w:val="007A73EC"/>
    <w:rsid w:val="007A780A"/>
    <w:rsid w:val="007B0487"/>
    <w:rsid w:val="007B0F51"/>
    <w:rsid w:val="007B1E92"/>
    <w:rsid w:val="007B2633"/>
    <w:rsid w:val="007B2D63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67BE"/>
    <w:rsid w:val="007D7314"/>
    <w:rsid w:val="007E07B2"/>
    <w:rsid w:val="007E16FC"/>
    <w:rsid w:val="007E1AF0"/>
    <w:rsid w:val="007E2A20"/>
    <w:rsid w:val="007E2B4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4D35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4706"/>
    <w:rsid w:val="00834879"/>
    <w:rsid w:val="00834E15"/>
    <w:rsid w:val="00836A75"/>
    <w:rsid w:val="00837222"/>
    <w:rsid w:val="00837B60"/>
    <w:rsid w:val="00840811"/>
    <w:rsid w:val="00841689"/>
    <w:rsid w:val="00841961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276D"/>
    <w:rsid w:val="008529F2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6DF"/>
    <w:rsid w:val="008D6861"/>
    <w:rsid w:val="008E0B62"/>
    <w:rsid w:val="008E2F2B"/>
    <w:rsid w:val="008E3464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C47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45DBB"/>
    <w:rsid w:val="009509CA"/>
    <w:rsid w:val="009514AE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6010B"/>
    <w:rsid w:val="00960C09"/>
    <w:rsid w:val="00961196"/>
    <w:rsid w:val="00961207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4A0F"/>
    <w:rsid w:val="0097524C"/>
    <w:rsid w:val="00975557"/>
    <w:rsid w:val="00977EF8"/>
    <w:rsid w:val="0098148B"/>
    <w:rsid w:val="00983D0B"/>
    <w:rsid w:val="00984164"/>
    <w:rsid w:val="00986954"/>
    <w:rsid w:val="00987078"/>
    <w:rsid w:val="009879B8"/>
    <w:rsid w:val="00987BBF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08A9"/>
    <w:rsid w:val="009C17B0"/>
    <w:rsid w:val="009C1885"/>
    <w:rsid w:val="009C23A4"/>
    <w:rsid w:val="009C29E7"/>
    <w:rsid w:val="009C30BE"/>
    <w:rsid w:val="009C4966"/>
    <w:rsid w:val="009C4A1A"/>
    <w:rsid w:val="009C4D82"/>
    <w:rsid w:val="009C4DB7"/>
    <w:rsid w:val="009C71CB"/>
    <w:rsid w:val="009C7BB9"/>
    <w:rsid w:val="009D0781"/>
    <w:rsid w:val="009D110C"/>
    <w:rsid w:val="009D1294"/>
    <w:rsid w:val="009D1AD8"/>
    <w:rsid w:val="009D2FAB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D0F"/>
    <w:rsid w:val="009E0F4B"/>
    <w:rsid w:val="009E46C1"/>
    <w:rsid w:val="009E5266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468E"/>
    <w:rsid w:val="00A0525C"/>
    <w:rsid w:val="00A05BDB"/>
    <w:rsid w:val="00A06204"/>
    <w:rsid w:val="00A10D08"/>
    <w:rsid w:val="00A11FB1"/>
    <w:rsid w:val="00A1298F"/>
    <w:rsid w:val="00A12A82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27289"/>
    <w:rsid w:val="00A30C4F"/>
    <w:rsid w:val="00A3153C"/>
    <w:rsid w:val="00A31E4F"/>
    <w:rsid w:val="00A33080"/>
    <w:rsid w:val="00A34014"/>
    <w:rsid w:val="00A35BE7"/>
    <w:rsid w:val="00A41367"/>
    <w:rsid w:val="00A41EDC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557F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B1B07"/>
    <w:rsid w:val="00AB1FBA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20FD"/>
    <w:rsid w:val="00AC2457"/>
    <w:rsid w:val="00AC2F64"/>
    <w:rsid w:val="00AC30E6"/>
    <w:rsid w:val="00AC679D"/>
    <w:rsid w:val="00AC6CDC"/>
    <w:rsid w:val="00AC78F0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979"/>
    <w:rsid w:val="00AF7C22"/>
    <w:rsid w:val="00B011F8"/>
    <w:rsid w:val="00B017DA"/>
    <w:rsid w:val="00B01841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7287"/>
    <w:rsid w:val="00B57AEE"/>
    <w:rsid w:val="00B57CE5"/>
    <w:rsid w:val="00B62722"/>
    <w:rsid w:val="00B63288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255E"/>
    <w:rsid w:val="00B72A58"/>
    <w:rsid w:val="00B72C4D"/>
    <w:rsid w:val="00B73139"/>
    <w:rsid w:val="00B73497"/>
    <w:rsid w:val="00B74857"/>
    <w:rsid w:val="00B74C73"/>
    <w:rsid w:val="00B74E5C"/>
    <w:rsid w:val="00B75604"/>
    <w:rsid w:val="00B756B6"/>
    <w:rsid w:val="00B80624"/>
    <w:rsid w:val="00B8206B"/>
    <w:rsid w:val="00B84235"/>
    <w:rsid w:val="00B8469B"/>
    <w:rsid w:val="00B84C69"/>
    <w:rsid w:val="00B85F17"/>
    <w:rsid w:val="00B86A1D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4727"/>
    <w:rsid w:val="00BA5886"/>
    <w:rsid w:val="00BA6779"/>
    <w:rsid w:val="00BA720C"/>
    <w:rsid w:val="00BA7F45"/>
    <w:rsid w:val="00BB1930"/>
    <w:rsid w:val="00BB1B8C"/>
    <w:rsid w:val="00BB23A8"/>
    <w:rsid w:val="00BB2614"/>
    <w:rsid w:val="00BB3B2E"/>
    <w:rsid w:val="00BB408C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3A12"/>
    <w:rsid w:val="00BF6522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71F"/>
    <w:rsid w:val="00C11778"/>
    <w:rsid w:val="00C1197C"/>
    <w:rsid w:val="00C12BD4"/>
    <w:rsid w:val="00C134BF"/>
    <w:rsid w:val="00C1396D"/>
    <w:rsid w:val="00C13C72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395"/>
    <w:rsid w:val="00C43A18"/>
    <w:rsid w:val="00C43D8B"/>
    <w:rsid w:val="00C445E3"/>
    <w:rsid w:val="00C46FE1"/>
    <w:rsid w:val="00C47C09"/>
    <w:rsid w:val="00C50D2C"/>
    <w:rsid w:val="00C522B3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2D21"/>
    <w:rsid w:val="00C93123"/>
    <w:rsid w:val="00C93D33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3091"/>
    <w:rsid w:val="00CD4312"/>
    <w:rsid w:val="00CD79D6"/>
    <w:rsid w:val="00CD7B7C"/>
    <w:rsid w:val="00CE0135"/>
    <w:rsid w:val="00CE1098"/>
    <w:rsid w:val="00CE11E3"/>
    <w:rsid w:val="00CE285E"/>
    <w:rsid w:val="00CE522C"/>
    <w:rsid w:val="00CE6BBC"/>
    <w:rsid w:val="00CE6C8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275D"/>
    <w:rsid w:val="00D036AF"/>
    <w:rsid w:val="00D04D76"/>
    <w:rsid w:val="00D05313"/>
    <w:rsid w:val="00D05688"/>
    <w:rsid w:val="00D06AF7"/>
    <w:rsid w:val="00D10698"/>
    <w:rsid w:val="00D10EEB"/>
    <w:rsid w:val="00D11D5B"/>
    <w:rsid w:val="00D14A6E"/>
    <w:rsid w:val="00D16117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642E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A8F"/>
    <w:rsid w:val="00D75ED3"/>
    <w:rsid w:val="00D77081"/>
    <w:rsid w:val="00D8096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ABB"/>
    <w:rsid w:val="00D92E31"/>
    <w:rsid w:val="00D93D1E"/>
    <w:rsid w:val="00D93D72"/>
    <w:rsid w:val="00D9527F"/>
    <w:rsid w:val="00D95C96"/>
    <w:rsid w:val="00D96ABC"/>
    <w:rsid w:val="00D9747A"/>
    <w:rsid w:val="00DA356D"/>
    <w:rsid w:val="00DA3574"/>
    <w:rsid w:val="00DA4C49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730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887"/>
    <w:rsid w:val="00E21A89"/>
    <w:rsid w:val="00E22FBF"/>
    <w:rsid w:val="00E23F14"/>
    <w:rsid w:val="00E2471B"/>
    <w:rsid w:val="00E26841"/>
    <w:rsid w:val="00E2753F"/>
    <w:rsid w:val="00E31647"/>
    <w:rsid w:val="00E31D96"/>
    <w:rsid w:val="00E32EDB"/>
    <w:rsid w:val="00E32F83"/>
    <w:rsid w:val="00E3338E"/>
    <w:rsid w:val="00E338CE"/>
    <w:rsid w:val="00E343EE"/>
    <w:rsid w:val="00E3531E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62EBD"/>
    <w:rsid w:val="00E62ECE"/>
    <w:rsid w:val="00E6383C"/>
    <w:rsid w:val="00E64C51"/>
    <w:rsid w:val="00E656FD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47AB"/>
    <w:rsid w:val="00E94C63"/>
    <w:rsid w:val="00E95861"/>
    <w:rsid w:val="00E9760C"/>
    <w:rsid w:val="00EA06DF"/>
    <w:rsid w:val="00EA2457"/>
    <w:rsid w:val="00EA2C41"/>
    <w:rsid w:val="00EA2C6F"/>
    <w:rsid w:val="00EA34C4"/>
    <w:rsid w:val="00EA3562"/>
    <w:rsid w:val="00EA39AB"/>
    <w:rsid w:val="00EA4587"/>
    <w:rsid w:val="00EA794C"/>
    <w:rsid w:val="00EA7ABB"/>
    <w:rsid w:val="00EB0A72"/>
    <w:rsid w:val="00EB1358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7E3"/>
    <w:rsid w:val="00ED4A48"/>
    <w:rsid w:val="00ED5752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60"/>
    <w:rsid w:val="00EF6489"/>
    <w:rsid w:val="00EF68E5"/>
    <w:rsid w:val="00F01BF1"/>
    <w:rsid w:val="00F01E23"/>
    <w:rsid w:val="00F01E4C"/>
    <w:rsid w:val="00F02CC7"/>
    <w:rsid w:val="00F02F8D"/>
    <w:rsid w:val="00F036B3"/>
    <w:rsid w:val="00F047CC"/>
    <w:rsid w:val="00F0638A"/>
    <w:rsid w:val="00F104A2"/>
    <w:rsid w:val="00F1228A"/>
    <w:rsid w:val="00F12DD3"/>
    <w:rsid w:val="00F12F1E"/>
    <w:rsid w:val="00F144B6"/>
    <w:rsid w:val="00F14588"/>
    <w:rsid w:val="00F1494A"/>
    <w:rsid w:val="00F14C7B"/>
    <w:rsid w:val="00F15B9F"/>
    <w:rsid w:val="00F15E99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10A5"/>
    <w:rsid w:val="00F731EF"/>
    <w:rsid w:val="00F74069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741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AB4"/>
    <w:rsid w:val="00FA7D70"/>
    <w:rsid w:val="00FB2274"/>
    <w:rsid w:val="00FB280C"/>
    <w:rsid w:val="00FB3EA3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8E4"/>
    <w:rsid w:val="00FC5D1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652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B29E114C-9A47-4BEC-A9A3-1532C34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isotretinoin-roaccutanev-new-safety-measures-to-be-introduced-in-the-coming-months-including-additional-oversight-on-initiation-of-treatment-for-patients-under-18-yea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A345B-7938-4459-B7AA-431ADB6D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1460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沈宏璋</cp:lastModifiedBy>
  <cp:revision>5</cp:revision>
  <cp:lastPrinted>2023-07-18T02:47:00Z</cp:lastPrinted>
  <dcterms:created xsi:type="dcterms:W3CDTF">2023-06-27T00:42:00Z</dcterms:created>
  <dcterms:modified xsi:type="dcterms:W3CDTF">2023-07-20T08:25:00Z</dcterms:modified>
</cp:coreProperties>
</file>