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790553" w:rsidRPr="00E11D7C" w14:paraId="22027120" w14:textId="77777777" w:rsidTr="005E4F1B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8246" w14:textId="5B3223B6" w:rsidR="00790553" w:rsidRPr="0073747C" w:rsidRDefault="00790553" w:rsidP="005E4F1B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5010F">
              <w:rPr>
                <w:rFonts w:ascii="Times New Roman" w:eastAsia="標楷體" w:hAnsi="Times New Roman" w:cs="Times New Roman"/>
                <w:sz w:val="36"/>
                <w:szCs w:val="36"/>
              </w:rPr>
              <w:t>含</w:t>
            </w:r>
            <w:r w:rsidRPr="00B54E2C">
              <w:rPr>
                <w:rFonts w:ascii="Times New Roman" w:eastAsia="標楷體" w:hAnsi="Times New Roman" w:cs="Times New Roman"/>
                <w:sz w:val="36"/>
                <w:szCs w:val="36"/>
              </w:rPr>
              <w:t>baclofen</w:t>
            </w:r>
            <w:r w:rsidRPr="0073747C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4B7BB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之</w:t>
            </w:r>
            <w:r w:rsidR="00057AB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口服</w:t>
            </w:r>
            <w:r w:rsidR="00714ABA" w:rsidRPr="00714ABA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劑</w:t>
            </w:r>
            <w:r w:rsidR="00057AB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型</w:t>
            </w:r>
            <w:r w:rsidRPr="0073747C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790553" w:rsidRPr="00E11D7C" w14:paraId="5E9419F4" w14:textId="77777777" w:rsidTr="005E4F1B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BAAD38" w14:textId="63C0D2BA" w:rsidR="00790553" w:rsidRPr="0055010F" w:rsidRDefault="00790553" w:rsidP="005E4F1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5010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製表日期：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112/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  <w:r w:rsidR="006519B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</w:tr>
      <w:tr w:rsidR="00790553" w:rsidRPr="00E11D7C" w14:paraId="2AF2FF2C" w14:textId="77777777" w:rsidTr="005E4F1B">
        <w:trPr>
          <w:trHeight w:val="333"/>
          <w:jc w:val="center"/>
        </w:trPr>
        <w:tc>
          <w:tcPr>
            <w:tcW w:w="2413" w:type="dxa"/>
            <w:vAlign w:val="center"/>
          </w:tcPr>
          <w:p w14:paraId="72B492F5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藥品成分</w:t>
            </w:r>
          </w:p>
        </w:tc>
        <w:tc>
          <w:tcPr>
            <w:tcW w:w="7316" w:type="dxa"/>
          </w:tcPr>
          <w:p w14:paraId="1476C1BC" w14:textId="77777777" w:rsidR="00790553" w:rsidRPr="00E11D7C" w:rsidRDefault="00790553" w:rsidP="005E4F1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B54E2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baclofen</w:t>
            </w:r>
          </w:p>
        </w:tc>
      </w:tr>
      <w:tr w:rsidR="00790553" w:rsidRPr="00E11D7C" w14:paraId="334DBD51" w14:textId="77777777" w:rsidTr="005E4F1B">
        <w:trPr>
          <w:trHeight w:val="333"/>
          <w:jc w:val="center"/>
        </w:trPr>
        <w:tc>
          <w:tcPr>
            <w:tcW w:w="2413" w:type="dxa"/>
            <w:vAlign w:val="center"/>
          </w:tcPr>
          <w:p w14:paraId="47340577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藥品名稱</w:t>
            </w:r>
          </w:p>
          <w:p w14:paraId="31C26ED6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E11D7C">
              <w:rPr>
                <w:rFonts w:ascii="Times New Roman" w:eastAsia="標楷體" w:hAnsi="Times New Roman"/>
              </w:rPr>
              <w:t>及許可證字號</w:t>
            </w:r>
          </w:p>
        </w:tc>
        <w:tc>
          <w:tcPr>
            <w:tcW w:w="7316" w:type="dxa"/>
          </w:tcPr>
          <w:p w14:paraId="0B22E1F6" w14:textId="30E541E6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E11D7C">
              <w:rPr>
                <w:rFonts w:ascii="Times New Roman" w:eastAsia="標楷體" w:hAnsi="Times New Roman"/>
                <w:color w:val="000000" w:themeColor="text1"/>
                <w:szCs w:val="24"/>
              </w:rPr>
              <w:t>衛</w:t>
            </w: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生福利部核准含</w:t>
            </w:r>
            <w:r w:rsidRPr="00B54E2C">
              <w:rPr>
                <w:rFonts w:ascii="Times New Roman" w:eastAsia="標楷體" w:hAnsi="Times New Roman"/>
                <w:kern w:val="0"/>
                <w:szCs w:val="24"/>
              </w:rPr>
              <w:t>baclofen</w:t>
            </w: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成分</w:t>
            </w:r>
            <w:r w:rsidR="00057AB7"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="00057AB7" w:rsidRPr="00057AB7">
              <w:rPr>
                <w:rFonts w:ascii="Times New Roman" w:eastAsia="標楷體" w:hAnsi="Times New Roman" w:hint="eastAsia"/>
                <w:kern w:val="0"/>
                <w:szCs w:val="24"/>
              </w:rPr>
              <w:t>口服劑型</w:t>
            </w: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藥品許可證共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52693D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張。</w:t>
            </w:r>
          </w:p>
          <w:p w14:paraId="54434227" w14:textId="77777777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b/>
                <w:szCs w:val="24"/>
              </w:rPr>
            </w:pP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查詢網址：</w:t>
            </w:r>
            <w:hyperlink r:id="rId7" w:history="1">
              <w:r w:rsidRPr="00E11D7C">
                <w:rPr>
                  <w:rStyle w:val="a4"/>
                  <w:rFonts w:ascii="Times New Roman" w:eastAsia="標楷體" w:hAnsi="Times New Roman"/>
                  <w:szCs w:val="24"/>
                </w:rPr>
                <w:t>https://www.fda.gov.tw/mlms/H0001.aspx</w:t>
              </w:r>
            </w:hyperlink>
            <w:r w:rsidRPr="0055010F">
              <w:rPr>
                <w:rStyle w:val="a4"/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790553" w:rsidRPr="00E11D7C" w14:paraId="5C95867A" w14:textId="77777777" w:rsidTr="005E4F1B">
        <w:trPr>
          <w:trHeight w:val="333"/>
          <w:jc w:val="center"/>
        </w:trPr>
        <w:tc>
          <w:tcPr>
            <w:tcW w:w="2413" w:type="dxa"/>
            <w:vAlign w:val="center"/>
          </w:tcPr>
          <w:p w14:paraId="48649C86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適應症</w:t>
            </w:r>
          </w:p>
        </w:tc>
        <w:tc>
          <w:tcPr>
            <w:tcW w:w="7316" w:type="dxa"/>
          </w:tcPr>
          <w:p w14:paraId="56D5A130" w14:textId="77777777" w:rsidR="00790553" w:rsidRPr="00E11D7C" w:rsidRDefault="00790553" w:rsidP="005E4F1B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F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限於脊髓和大腦疾病或損傷引起的肌肉痙攣</w:t>
            </w:r>
            <w:r w:rsidRPr="00E11D7C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790553" w:rsidRPr="00E11D7C" w14:paraId="158BD0AE" w14:textId="77777777" w:rsidTr="005E4F1B">
        <w:trPr>
          <w:jc w:val="center"/>
        </w:trPr>
        <w:tc>
          <w:tcPr>
            <w:tcW w:w="2413" w:type="dxa"/>
            <w:vAlign w:val="center"/>
          </w:tcPr>
          <w:p w14:paraId="6F54E091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藥理作用機轉</w:t>
            </w:r>
          </w:p>
        </w:tc>
        <w:tc>
          <w:tcPr>
            <w:tcW w:w="7316" w:type="dxa"/>
          </w:tcPr>
          <w:p w14:paraId="4EEDD832" w14:textId="60038493" w:rsidR="00790553" w:rsidRPr="00B0187B" w:rsidRDefault="004761F0" w:rsidP="005E4F1B">
            <w:pPr>
              <w:tabs>
                <w:tab w:val="left" w:pos="1010"/>
              </w:tabs>
              <w:rPr>
                <w:rFonts w:ascii="Times New Roman" w:eastAsia="標楷體" w:hAnsi="Times New Roman"/>
                <w:szCs w:val="24"/>
              </w:rPr>
            </w:pPr>
            <w:r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Baclofen</w:t>
            </w:r>
            <w:r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是抑制性神經傳導物質</w:t>
            </w:r>
            <w:r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γ</w:t>
            </w:r>
            <w:r w:rsidRPr="008947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胺</w:t>
            </w:r>
            <w:proofErr w:type="gramStart"/>
            <w:r w:rsidRPr="008947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基丁酸</w:t>
            </w:r>
            <w:proofErr w:type="gramEnd"/>
            <w:r w:rsidRPr="003D43A8">
              <w:rPr>
                <w:rFonts w:ascii="Times New Roman" w:eastAsia="標楷體" w:hAnsi="Times New Roman"/>
                <w:szCs w:val="24"/>
              </w:rPr>
              <w:t xml:space="preserve">(GABA) </w:t>
            </w:r>
            <w:r w:rsidRPr="003D43A8">
              <w:rPr>
                <w:rFonts w:ascii="Times New Roman" w:eastAsia="標楷體" w:hAnsi="Times New Roman"/>
                <w:szCs w:val="24"/>
              </w:rPr>
              <w:t>的結構類似物，可能透過刺激</w:t>
            </w:r>
            <w:r w:rsidRPr="003D43A8">
              <w:rPr>
                <w:rFonts w:ascii="Times New Roman" w:eastAsia="標楷體" w:hAnsi="Times New Roman"/>
                <w:szCs w:val="24"/>
              </w:rPr>
              <w:t>GABA</w:t>
            </w:r>
            <w:r w:rsidRPr="004761F0">
              <w:rPr>
                <w:rFonts w:ascii="Times New Roman" w:eastAsia="標楷體" w:hAnsi="Times New Roman"/>
                <w:szCs w:val="24"/>
                <w:vertAlign w:val="subscript"/>
              </w:rPr>
              <w:t>B</w:t>
            </w:r>
            <w:r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3D43A8">
              <w:rPr>
                <w:rFonts w:ascii="Times New Roman" w:eastAsia="標楷體" w:hAnsi="Times New Roman"/>
                <w:szCs w:val="24"/>
              </w:rPr>
              <w:t>受體來發揮其作用。</w:t>
            </w:r>
            <w:r w:rsidR="003D43A8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Baclofen</w:t>
            </w:r>
            <w:r w:rsidR="003D43A8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的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確切作用機轉尚未</w:t>
            </w:r>
            <w:r w:rsidR="00152C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被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完全瞭解</w:t>
            </w:r>
            <w:r w:rsidR="00D94E1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可能藉由降低</w:t>
            </w:r>
            <w:r w:rsidR="00603B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從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末梢</w:t>
            </w:r>
            <w:r w:rsidR="00603B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神經元的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興奮性神經傳導物質</w:t>
            </w:r>
            <w:r w:rsidR="00603B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釋放</w:t>
            </w:r>
            <w:r w:rsidR="00D00DA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3A2B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抑制脊髓層面的</w:t>
            </w:r>
            <w:proofErr w:type="gramStart"/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單突觸與多突觸</w:t>
            </w:r>
            <w:proofErr w:type="gramEnd"/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反射</w:t>
            </w:r>
            <w:r w:rsidR="003A2BE9">
              <w:rPr>
                <w:rFonts w:ascii="新細明體" w:hAnsi="新細明體" w:hint="eastAsia"/>
                <w:color w:val="000000" w:themeColor="text1"/>
                <w:szCs w:val="24"/>
              </w:rPr>
              <w:t>；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也可能</w:t>
            </w:r>
            <w:r w:rsidR="00D00DA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作用於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脊髓上</w:t>
            </w:r>
            <w:r w:rsidR="00D00DA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以促成</w:t>
            </w:r>
            <w:r w:rsidR="00790553" w:rsidRPr="003D43A8">
              <w:rPr>
                <w:rFonts w:ascii="Times New Roman" w:eastAsia="標楷體" w:hAnsi="Times New Roman"/>
                <w:color w:val="000000" w:themeColor="text1"/>
                <w:szCs w:val="24"/>
              </w:rPr>
              <w:t>其臨床效果。</w:t>
            </w:r>
          </w:p>
        </w:tc>
      </w:tr>
      <w:tr w:rsidR="00790553" w:rsidRPr="00E11D7C" w14:paraId="4C7118D6" w14:textId="77777777" w:rsidTr="005E4F1B">
        <w:trPr>
          <w:trHeight w:val="416"/>
          <w:jc w:val="center"/>
        </w:trPr>
        <w:tc>
          <w:tcPr>
            <w:tcW w:w="2413" w:type="dxa"/>
            <w:vAlign w:val="center"/>
          </w:tcPr>
          <w:p w14:paraId="2FD166DF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0F6453AE" w14:textId="41CE90BF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2023/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</w:t>
            </w: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19</w:t>
            </w:r>
            <w:r w:rsidRPr="00E11D7C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澳洲</w:t>
            </w:r>
            <w:r w:rsidR="00411F1D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藥物管理局（</w:t>
            </w:r>
            <w:r w:rsidRPr="00E11D7C">
              <w:rPr>
                <w:rFonts w:ascii="Times New Roman" w:eastAsia="標楷體" w:hAnsi="Times New Roman"/>
                <w:szCs w:val="24"/>
              </w:rPr>
              <w:t>TGA</w:t>
            </w:r>
            <w:r w:rsidR="00411F1D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E11D7C">
              <w:rPr>
                <w:rFonts w:ascii="Times New Roman" w:eastAsia="標楷體" w:hAnsi="Times New Roman"/>
              </w:rPr>
              <w:t>發布</w:t>
            </w:r>
            <w:r w:rsidR="00675E8F">
              <w:rPr>
                <w:rFonts w:ascii="Times New Roman" w:eastAsia="標楷體" w:hAnsi="Times New Roman" w:hint="eastAsia"/>
              </w:rPr>
              <w:t>警訊</w:t>
            </w:r>
            <w:r w:rsidR="001B2DC4">
              <w:rPr>
                <w:rFonts w:ascii="標楷體" w:eastAsia="標楷體" w:hAnsi="標楷體" w:hint="eastAsia"/>
              </w:rPr>
              <w:t>，</w:t>
            </w:r>
            <w:r w:rsidR="001B2DC4">
              <w:rPr>
                <w:rFonts w:ascii="Times New Roman" w:eastAsia="標楷體" w:hAnsi="Times New Roman" w:hint="eastAsia"/>
              </w:rPr>
              <w:t>應</w:t>
            </w:r>
            <w:r w:rsidR="0032603D">
              <w:rPr>
                <w:rFonts w:ascii="Times New Roman" w:eastAsia="標楷體" w:hAnsi="Times New Roman" w:hint="eastAsia"/>
              </w:rPr>
              <w:t>對</w:t>
            </w:r>
            <w:r w:rsidR="0032603D" w:rsidRPr="0032603D">
              <w:rPr>
                <w:rFonts w:ascii="Times New Roman" w:eastAsia="標楷體" w:hAnsi="Times New Roman" w:hint="eastAsia"/>
              </w:rPr>
              <w:t>使用含</w:t>
            </w:r>
            <w:r w:rsidR="0032603D" w:rsidRPr="0032603D">
              <w:rPr>
                <w:rFonts w:ascii="Times New Roman" w:eastAsia="標楷體" w:hAnsi="Times New Roman" w:hint="eastAsia"/>
              </w:rPr>
              <w:t>baclofen</w:t>
            </w:r>
            <w:r w:rsidR="0032603D" w:rsidRPr="0032603D">
              <w:rPr>
                <w:rFonts w:ascii="Times New Roman" w:eastAsia="標楷體" w:hAnsi="Times New Roman" w:hint="eastAsia"/>
              </w:rPr>
              <w:t>成分藥品可能導致</w:t>
            </w:r>
            <w:r w:rsidR="00411F1D">
              <w:rPr>
                <w:rFonts w:ascii="Times New Roman" w:eastAsia="標楷體" w:hAnsi="Times New Roman" w:hint="eastAsia"/>
              </w:rPr>
              <w:t>病人</w:t>
            </w:r>
            <w:r w:rsidR="0032603D" w:rsidRPr="0032603D">
              <w:rPr>
                <w:rFonts w:ascii="Times New Roman" w:eastAsia="標楷體" w:hAnsi="Times New Roman" w:hint="eastAsia"/>
              </w:rPr>
              <w:t>有自殺意念或自殺相關不良反應</w:t>
            </w:r>
            <w:r w:rsidR="001B2D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風險</w:t>
            </w:r>
            <w:r w:rsidR="001B2D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保持警覺</w:t>
            </w:r>
            <w:r w:rsidRPr="00E11D7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。</w:t>
            </w:r>
          </w:p>
          <w:p w14:paraId="16EAE573" w14:textId="77777777" w:rsidR="00790553" w:rsidRPr="00E11D7C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u w:val="single"/>
              </w:rPr>
            </w:pPr>
            <w:r w:rsidRPr="00E11D7C">
              <w:rPr>
                <w:rFonts w:ascii="Times New Roman" w:eastAsia="標楷體" w:hAnsi="Times New Roman"/>
                <w:kern w:val="0"/>
                <w:szCs w:val="24"/>
              </w:rPr>
              <w:t>網址：</w:t>
            </w:r>
            <w:hyperlink r:id="rId8" w:history="1">
              <w:r w:rsidRPr="00B62BDF">
                <w:rPr>
                  <w:rStyle w:val="a4"/>
                  <w:rFonts w:ascii="Times New Roman" w:eastAsia="標楷體" w:hAnsi="Times New Roman"/>
                  <w:kern w:val="0"/>
                  <w:szCs w:val="24"/>
                </w:rPr>
                <w:t>https://www.tga.gov.au/news/safety-alerts/be-alert-if-you-are-taking-baclofen-high-doses</w:t>
              </w:r>
            </w:hyperlink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5010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 </w:t>
            </w:r>
          </w:p>
        </w:tc>
      </w:tr>
      <w:tr w:rsidR="00790553" w:rsidRPr="00E11D7C" w14:paraId="48E08A00" w14:textId="77777777" w:rsidTr="005E4F1B">
        <w:trPr>
          <w:trHeight w:val="896"/>
          <w:jc w:val="center"/>
        </w:trPr>
        <w:tc>
          <w:tcPr>
            <w:tcW w:w="2413" w:type="dxa"/>
            <w:vAlign w:val="center"/>
          </w:tcPr>
          <w:p w14:paraId="29D29C17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</w:rPr>
              <w:t>藥品安全有關資訊分析及描述</w:t>
            </w:r>
          </w:p>
        </w:tc>
        <w:tc>
          <w:tcPr>
            <w:tcW w:w="7316" w:type="dxa"/>
          </w:tcPr>
          <w:p w14:paraId="0FBAE9BD" w14:textId="52E1C6A3" w:rsidR="00790553" w:rsidRDefault="006B2AC6" w:rsidP="0079055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baclofen</w:t>
            </w:r>
            <w:r w:rsidRPr="00574281">
              <w:rPr>
                <w:rFonts w:ascii="Times New Roman" w:eastAsia="標楷體" w:hAnsi="Times New Roman" w:hint="eastAsia"/>
                <w:kern w:val="0"/>
                <w:szCs w:val="24"/>
              </w:rPr>
              <w:t>成分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 w:rsidR="00790553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於澳洲核准之適應症為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r w:rsidR="00790553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抑制</w:t>
            </w:r>
            <w:r w:rsidR="000B459F">
              <w:rPr>
                <w:rFonts w:ascii="Times New Roman" w:eastAsia="標楷體" w:hAnsi="Times New Roman" w:hint="eastAsia"/>
                <w:kern w:val="0"/>
                <w:szCs w:val="24"/>
              </w:rPr>
              <w:t>由</w:t>
            </w:r>
            <w:r w:rsidR="00790553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多發性硬化症、脊髓損傷導致四肢僵硬或膀胱功能障礙</w:t>
            </w:r>
            <w:r w:rsidR="00573437">
              <w:rPr>
                <w:rFonts w:ascii="Times New Roman" w:eastAsia="標楷體" w:hAnsi="Times New Roman" w:hint="eastAsia"/>
                <w:kern w:val="0"/>
                <w:szCs w:val="24"/>
              </w:rPr>
              <w:t>引起</w:t>
            </w:r>
            <w:r w:rsidR="00790553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之肌肉痙攣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」</w:t>
            </w:r>
            <w:r w:rsidR="00790553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；</w:t>
            </w:r>
            <w:proofErr w:type="gramStart"/>
            <w:r w:rsidR="00DE4F32">
              <w:rPr>
                <w:rFonts w:ascii="Times New Roman" w:eastAsia="標楷體" w:hAnsi="Times New Roman" w:hint="eastAsia"/>
                <w:kern w:val="0"/>
                <w:szCs w:val="24"/>
              </w:rPr>
              <w:t>惟</w:t>
            </w:r>
            <w:proofErr w:type="gramEnd"/>
            <w:r w:rsidR="00790553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處方醫師可能於適應症外</w:t>
            </w:r>
            <w:r w:rsidR="00B11590">
              <w:rPr>
                <w:rFonts w:ascii="Times New Roman" w:eastAsia="標楷體" w:hAnsi="Times New Roman" w:hint="eastAsia"/>
                <w:kern w:val="0"/>
                <w:szCs w:val="24"/>
              </w:rPr>
              <w:t>的情況</w:t>
            </w:r>
            <w:r w:rsidR="00DE4F32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 w:rsidR="00D11B32">
              <w:rPr>
                <w:rFonts w:ascii="Times New Roman" w:eastAsia="標楷體" w:hAnsi="Times New Roman" w:hint="eastAsia"/>
                <w:kern w:val="0"/>
                <w:szCs w:val="24"/>
              </w:rPr>
              <w:t>該</w:t>
            </w:r>
            <w:r w:rsidR="00DE4F32"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 w:rsidR="00790553" w:rsidRPr="0055010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14:paraId="10A5A0CD" w14:textId="636B2D77" w:rsidR="00790553" w:rsidRPr="00955675" w:rsidRDefault="00790553" w:rsidP="0079055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澳洲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TGA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經評估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近期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接獲</w:t>
            </w:r>
            <w:r w:rsidR="000F4372">
              <w:rPr>
                <w:rFonts w:ascii="Times New Roman" w:eastAsia="標楷體" w:hAnsi="Times New Roman" w:hint="eastAsia"/>
                <w:kern w:val="0"/>
                <w:szCs w:val="24"/>
              </w:rPr>
              <w:t>使用該藥品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兩件死亡案例，</w:t>
            </w:r>
            <w:r w:rsidR="004A35F4">
              <w:rPr>
                <w:rFonts w:ascii="Times New Roman" w:eastAsia="標楷體" w:hAnsi="Times New Roman" w:hint="eastAsia"/>
                <w:kern w:val="0"/>
                <w:szCs w:val="24"/>
              </w:rPr>
              <w:t>發現適應症外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 w:rsidR="00825E55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高劑量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baclofen</w:t>
            </w:r>
            <w:r w:rsidR="00ED5497" w:rsidRPr="00955675">
              <w:rPr>
                <w:rFonts w:ascii="Times New Roman" w:eastAsia="標楷體" w:hAnsi="Times New Roman" w:hint="eastAsia"/>
                <w:kern w:val="0"/>
                <w:szCs w:val="24"/>
              </w:rPr>
              <w:t>治療酒精使用障礙</w:t>
            </w:r>
            <w:r w:rsidR="00ED5497" w:rsidRPr="00955675">
              <w:rPr>
                <w:rFonts w:ascii="Times New Roman" w:eastAsia="標楷體" w:hAnsi="Times New Roman" w:hint="eastAsia"/>
                <w:kern w:val="0"/>
                <w:szCs w:val="24"/>
              </w:rPr>
              <w:t>(alcohol use disorder)</w:t>
            </w:r>
            <w:r w:rsidR="00ED5497">
              <w:rPr>
                <w:rFonts w:ascii="Times New Roman" w:eastAsia="標楷體" w:hAnsi="Times New Roman" w:hint="eastAsia"/>
                <w:kern w:val="0"/>
                <w:szCs w:val="24"/>
              </w:rPr>
              <w:t>時</w:t>
            </w:r>
            <w:r w:rsidR="00BF24D5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可能</w:t>
            </w:r>
            <w:r w:rsidR="00ED5497">
              <w:rPr>
                <w:rFonts w:ascii="Times New Roman" w:eastAsia="標楷體" w:hAnsi="Times New Roman" w:hint="eastAsia"/>
                <w:kern w:val="0"/>
                <w:szCs w:val="24"/>
              </w:rPr>
              <w:t>使</w:t>
            </w:r>
            <w:r w:rsidR="00825E55">
              <w:rPr>
                <w:rFonts w:ascii="Times New Roman" w:eastAsia="標楷體" w:hAnsi="Times New Roman" w:hint="eastAsia"/>
                <w:kern w:val="0"/>
                <w:szCs w:val="24"/>
              </w:rPr>
              <w:t>病人發生自殺</w:t>
            </w:r>
            <w:r w:rsidRPr="00955675">
              <w:rPr>
                <w:rFonts w:ascii="Times New Roman" w:eastAsia="標楷體" w:hAnsi="Times New Roman" w:hint="eastAsia"/>
                <w:kern w:val="0"/>
                <w:szCs w:val="24"/>
              </w:rPr>
              <w:t>之風險</w:t>
            </w:r>
            <w:r w:rsidR="00BF24D5">
              <w:rPr>
                <w:rFonts w:ascii="Times New Roman" w:eastAsia="標楷體" w:hAnsi="Times New Roman" w:hint="eastAsia"/>
                <w:kern w:val="0"/>
                <w:szCs w:val="24"/>
              </w:rPr>
              <w:t>增加</w:t>
            </w:r>
            <w:r w:rsidRPr="00955675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3D16813C" w14:textId="6C5A7F39" w:rsidR="00790553" w:rsidRDefault="00790553" w:rsidP="0079055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澳洲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TGA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已更新</w:t>
            </w:r>
            <w:r w:rsidR="00574281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baclofen</w:t>
            </w:r>
            <w:r w:rsidR="00574281" w:rsidRPr="00574281">
              <w:rPr>
                <w:rFonts w:ascii="Times New Roman" w:eastAsia="標楷體" w:hAnsi="Times New Roman" w:hint="eastAsia"/>
                <w:kern w:val="0"/>
                <w:szCs w:val="24"/>
              </w:rPr>
              <w:t>成分之</w:t>
            </w:r>
            <w:r w:rsidR="00C5299B" w:rsidRPr="00C5299B">
              <w:rPr>
                <w:rFonts w:ascii="Times New Roman" w:eastAsia="標楷體" w:hAnsi="Times New Roman" w:hint="eastAsia"/>
                <w:kern w:val="0"/>
                <w:szCs w:val="24"/>
              </w:rPr>
              <w:t>口服劑型</w:t>
            </w:r>
            <w:r w:rsidR="00574281" w:rsidRPr="00574281"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仿單及用藥須知，修訂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身心及神經系統疾病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之警語</w:t>
            </w:r>
            <w:r w:rsidR="00257234">
              <w:rPr>
                <w:rFonts w:ascii="Times New Roman" w:eastAsia="標楷體" w:hAnsi="Times New Roman" w:hint="eastAsia"/>
                <w:kern w:val="0"/>
                <w:szCs w:val="24"/>
              </w:rPr>
              <w:t>內容</w:t>
            </w:r>
            <w:r w:rsidR="00257234">
              <w:rPr>
                <w:rFonts w:ascii="標楷體" w:eastAsia="標楷體" w:hAnsi="標楷體" w:hint="eastAsia"/>
                <w:kern w:val="0"/>
                <w:szCs w:val="24"/>
              </w:rPr>
              <w:t>，包括新增：</w:t>
            </w:r>
            <w:r w:rsidR="005549EF">
              <w:rPr>
                <w:rFonts w:ascii="Times New Roman" w:eastAsia="標楷體" w:hAnsi="Times New Roman" w:hint="eastAsia"/>
                <w:kern w:val="0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接獲</w:t>
            </w:r>
            <w:r w:rsidRPr="00C13BD6">
              <w:rPr>
                <w:rFonts w:ascii="Times New Roman" w:eastAsia="標楷體" w:hAnsi="Times New Roman"/>
                <w:kern w:val="0"/>
                <w:szCs w:val="24"/>
              </w:rPr>
              <w:t>使用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baclofen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的病人發生自殺</w:t>
            </w:r>
            <w:r w:rsidR="00257234">
              <w:rPr>
                <w:rFonts w:ascii="Times New Roman" w:eastAsia="標楷體" w:hAnsi="Times New Roman" w:hint="eastAsia"/>
                <w:kern w:val="0"/>
                <w:szCs w:val="24"/>
              </w:rPr>
              <w:t>或與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自殺相關事件</w:t>
            </w:r>
            <w:r w:rsidR="009759D3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4F2AA7">
              <w:rPr>
                <w:rFonts w:ascii="Times New Roman" w:eastAsia="標楷體" w:hAnsi="Times New Roman" w:hint="eastAsia"/>
                <w:kern w:val="0"/>
                <w:szCs w:val="24"/>
              </w:rPr>
              <w:t>尤其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用於酒精使用障礙</w:t>
            </w:r>
            <w:r w:rsidR="00AC3249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身心症</w:t>
            </w:r>
            <w:r w:rsidR="00AC3249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思覺失調</w:t>
            </w:r>
            <w:proofErr w:type="gramEnd"/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症</w:t>
            </w:r>
            <w:r w:rsidR="00AC3249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、憂鬱症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proofErr w:type="gramStart"/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躁</w:t>
            </w:r>
            <w:proofErr w:type="gramEnd"/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症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瞻</w:t>
            </w:r>
            <w:proofErr w:type="gramStart"/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妄</w:t>
            </w:r>
            <w:proofErr w:type="gramEnd"/>
            <w:r w:rsidR="00AC3249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曾有自殺意念或藥品濫用史之病人</w:t>
            </w:r>
            <w:r w:rsidR="001C4506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可能使</w:t>
            </w:r>
            <w:r w:rsidR="004A636E">
              <w:rPr>
                <w:rFonts w:ascii="Times New Roman" w:eastAsia="標楷體" w:hAnsi="Times New Roman" w:hint="eastAsia"/>
                <w:kern w:val="0"/>
                <w:szCs w:val="24"/>
              </w:rPr>
              <w:t>自殺</w:t>
            </w:r>
            <w:r w:rsidR="00AC3249" w:rsidRPr="00955675">
              <w:rPr>
                <w:rFonts w:ascii="Times New Roman" w:eastAsia="標楷體" w:hAnsi="Times New Roman" w:hint="eastAsia"/>
                <w:kern w:val="0"/>
                <w:szCs w:val="24"/>
              </w:rPr>
              <w:t>風險</w:t>
            </w:r>
            <w:r w:rsidR="00AC3249">
              <w:rPr>
                <w:rFonts w:ascii="Times New Roman" w:eastAsia="標楷體" w:hAnsi="Times New Roman" w:hint="eastAsia"/>
                <w:kern w:val="0"/>
                <w:szCs w:val="24"/>
              </w:rPr>
              <w:t>增加</w:t>
            </w:r>
            <w:r w:rsidR="0063186E">
              <w:rPr>
                <w:rFonts w:ascii="標楷體" w:eastAsia="標楷體" w:hAnsi="標楷體" w:hint="eastAsia"/>
                <w:kern w:val="0"/>
                <w:szCs w:val="24"/>
              </w:rPr>
              <w:t>；</w:t>
            </w:r>
            <w:r w:rsidR="009759D3">
              <w:rPr>
                <w:rFonts w:ascii="標楷體" w:eastAsia="標楷體" w:hAnsi="標楷體" w:hint="eastAsia"/>
                <w:kern w:val="0"/>
                <w:szCs w:val="24"/>
              </w:rPr>
              <w:t>亦</w:t>
            </w:r>
            <w:r w:rsidR="004A636E">
              <w:rPr>
                <w:rFonts w:ascii="標楷體" w:eastAsia="標楷體" w:hAnsi="標楷體" w:hint="eastAsia"/>
                <w:kern w:val="0"/>
                <w:szCs w:val="24"/>
              </w:rPr>
              <w:t>曾發生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誤用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濫用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3B46BA">
              <w:rPr>
                <w:rFonts w:ascii="標楷體" w:eastAsia="標楷體" w:hAnsi="標楷體" w:hint="eastAsia"/>
                <w:kern w:val="0"/>
                <w:szCs w:val="24"/>
              </w:rPr>
              <w:t>藥物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依賴之案例</w:t>
            </w:r>
            <w:r w:rsidR="00615B65">
              <w:rPr>
                <w:rFonts w:ascii="標楷體" w:eastAsia="標楷體" w:hAnsi="標楷體" w:hint="eastAsia"/>
                <w:kern w:val="0"/>
                <w:szCs w:val="24"/>
              </w:rPr>
              <w:t>；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建議醫療人員應密切監測</w:t>
            </w:r>
            <w:r w:rsidR="0063186E">
              <w:rPr>
                <w:rFonts w:ascii="Times New Roman" w:eastAsia="標楷體" w:hAnsi="Times New Roman" w:hint="eastAsia"/>
                <w:kern w:val="0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2368AD72" w14:textId="2A9539E6" w:rsidR="00790553" w:rsidRDefault="00790553" w:rsidP="0079055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澳洲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仿單</w:t>
            </w:r>
            <w:r w:rsidR="00EB11A2">
              <w:rPr>
                <w:rFonts w:ascii="Times New Roman" w:eastAsia="標楷體" w:hAnsi="Times New Roman" w:hint="eastAsia"/>
                <w:kern w:val="0"/>
                <w:szCs w:val="24"/>
              </w:rPr>
              <w:t>已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加註</w:t>
            </w:r>
            <w:r w:rsidR="00510251" w:rsidRPr="00510251">
              <w:rPr>
                <w:rFonts w:ascii="Times New Roman" w:eastAsia="標楷體" w:hAnsi="Times New Roman"/>
                <w:kern w:val="0"/>
                <w:szCs w:val="24"/>
              </w:rPr>
              <w:t>baclofen</w:t>
            </w:r>
            <w:r w:rsidR="00FB0713">
              <w:rPr>
                <w:rFonts w:ascii="Times New Roman" w:eastAsia="標楷體" w:hAnsi="Times New Roman" w:hint="eastAsia"/>
                <w:kern w:val="0"/>
                <w:szCs w:val="24"/>
              </w:rPr>
              <w:t>最佳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的療效劑量範圍為每日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30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至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75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毫克，</w:t>
            </w:r>
            <w:r w:rsidR="00FB0713">
              <w:rPr>
                <w:rFonts w:ascii="Times New Roman" w:eastAsia="標楷體" w:hAnsi="Times New Roman" w:hint="eastAsia"/>
                <w:kern w:val="0"/>
                <w:szCs w:val="24"/>
              </w:rPr>
              <w:t>但有些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住院病人</w:t>
            </w:r>
            <w:r w:rsidR="001C4506"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="001C4506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每日劑量</w:t>
            </w:r>
            <w:bookmarkStart w:id="0" w:name="_GoBack"/>
            <w:bookmarkEnd w:id="0"/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可能需要</w:t>
            </w:r>
            <w:r w:rsidR="00FB0713">
              <w:rPr>
                <w:rFonts w:ascii="Times New Roman" w:eastAsia="標楷體" w:hAnsi="Times New Roman" w:hint="eastAsia"/>
                <w:kern w:val="0"/>
                <w:szCs w:val="24"/>
              </w:rPr>
              <w:t>達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100</w:t>
            </w:r>
            <w:r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毫克</w:t>
            </w:r>
            <w:r w:rsidRPr="007E728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37155812" w14:textId="78C8A4BB" w:rsidR="00790553" w:rsidRPr="00CA1FCE" w:rsidRDefault="00790553" w:rsidP="00CA1FCE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澳洲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TGA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此次安全</w:t>
            </w:r>
            <w:r w:rsidR="00B14BFC">
              <w:rPr>
                <w:rFonts w:ascii="Times New Roman" w:eastAsia="標楷體" w:hAnsi="Times New Roman" w:hint="eastAsia"/>
                <w:kern w:val="0"/>
                <w:szCs w:val="24"/>
              </w:rPr>
              <w:t>資訊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僅</w:t>
            </w:r>
            <w:r w:rsidR="00C0464E">
              <w:rPr>
                <w:rFonts w:ascii="Times New Roman" w:eastAsia="標楷體" w:hAnsi="Times New Roman" w:hint="eastAsia"/>
                <w:kern w:val="0"/>
                <w:szCs w:val="24"/>
              </w:rPr>
              <w:t>針對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7C5CAF">
              <w:rPr>
                <w:rFonts w:ascii="Times New Roman" w:eastAsia="標楷體" w:hAnsi="Times New Roman"/>
                <w:kern w:val="0"/>
                <w:szCs w:val="24"/>
              </w:rPr>
              <w:t>baclofen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成分</w:t>
            </w:r>
            <w:r w:rsidR="001C4506" w:rsidRPr="00C5299B">
              <w:rPr>
                <w:rFonts w:ascii="Times New Roman" w:eastAsia="標楷體" w:hAnsi="Times New Roman" w:hint="eastAsia"/>
                <w:kern w:val="0"/>
                <w:szCs w:val="24"/>
              </w:rPr>
              <w:t>口服劑型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不包括</w:t>
            </w:r>
            <w:r w:rsidRPr="007C5CAF">
              <w:rPr>
                <w:rFonts w:ascii="Times New Roman" w:eastAsia="標楷體" w:hAnsi="Times New Roman" w:hint="eastAsia"/>
                <w:kern w:val="0"/>
                <w:szCs w:val="24"/>
              </w:rPr>
              <w:t>脊髓腔內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注射使用</w:t>
            </w:r>
            <w:r w:rsidR="00510251"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="00363D83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="00510251" w:rsidRPr="00510251">
              <w:rPr>
                <w:rFonts w:ascii="Times New Roman" w:eastAsia="標楷體" w:hAnsi="Times New Roman"/>
                <w:kern w:val="0"/>
                <w:szCs w:val="24"/>
              </w:rPr>
              <w:t>baclofen</w:t>
            </w:r>
            <w:r w:rsidR="00363D83">
              <w:rPr>
                <w:rFonts w:ascii="Times New Roman" w:eastAsia="標楷體" w:hAnsi="Times New Roman" w:hint="eastAsia"/>
                <w:kern w:val="0"/>
                <w:szCs w:val="24"/>
              </w:rPr>
              <w:t>成分</w:t>
            </w:r>
            <w:r w:rsidR="00510251"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250FC8" w:rsidRPr="00E11D7C" w14:paraId="721643CD" w14:textId="77777777" w:rsidTr="005E4F1B">
        <w:trPr>
          <w:trHeight w:val="896"/>
          <w:jc w:val="center"/>
        </w:trPr>
        <w:tc>
          <w:tcPr>
            <w:tcW w:w="2413" w:type="dxa"/>
            <w:vAlign w:val="center"/>
          </w:tcPr>
          <w:p w14:paraId="1EB6BB5B" w14:textId="77777777" w:rsidR="00250FC8" w:rsidRPr="00B930E7" w:rsidRDefault="00250FC8" w:rsidP="00250FC8">
            <w:pPr>
              <w:jc w:val="center"/>
              <w:rPr>
                <w:rFonts w:ascii="Times New Roman" w:eastAsia="標楷體" w:hAnsi="Times New Roman"/>
              </w:rPr>
            </w:pPr>
            <w:r w:rsidRPr="00B930E7">
              <w:rPr>
                <w:rFonts w:ascii="Times New Roman" w:eastAsia="標楷體" w:hAnsi="Times New Roman"/>
              </w:rPr>
              <w:t>食品藥物管理署</w:t>
            </w:r>
          </w:p>
          <w:p w14:paraId="31EC9251" w14:textId="633E4203" w:rsidR="00250FC8" w:rsidRPr="0055010F" w:rsidRDefault="00250FC8" w:rsidP="00250FC8">
            <w:pPr>
              <w:jc w:val="center"/>
              <w:rPr>
                <w:rFonts w:ascii="Times New Roman" w:eastAsia="標楷體" w:hAnsi="Times New Roman"/>
              </w:rPr>
            </w:pPr>
            <w:r w:rsidRPr="00B930E7">
              <w:rPr>
                <w:rFonts w:ascii="Times New Roman" w:eastAsia="標楷體" w:hAnsi="Times New Roman"/>
              </w:rPr>
              <w:t>風險溝通說明</w:t>
            </w:r>
          </w:p>
        </w:tc>
        <w:tc>
          <w:tcPr>
            <w:tcW w:w="7316" w:type="dxa"/>
          </w:tcPr>
          <w:p w14:paraId="0D9FE5C0" w14:textId="77777777" w:rsidR="00250FC8" w:rsidRDefault="00250FC8" w:rsidP="00250FC8">
            <w:pPr>
              <w:widowControl/>
              <w:shd w:val="clear" w:color="auto" w:fill="FFFFFF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2A5FA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16F8F031" w14:textId="07E823DB" w:rsidR="00250FC8" w:rsidRDefault="008D5B94" w:rsidP="008D5B94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我國核准含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baclofen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成分</w:t>
            </w:r>
            <w:r w:rsidR="002F6653" w:rsidRPr="002F6653"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="00015E16" w:rsidRPr="00015E16">
              <w:rPr>
                <w:rFonts w:ascii="Times New Roman" w:eastAsia="標楷體" w:hAnsi="Times New Roman" w:hint="eastAsia"/>
                <w:kern w:val="0"/>
                <w:szCs w:val="24"/>
              </w:rPr>
              <w:t>口服劑型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藥品許可證共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52693D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張，核准適應症為「限於脊髓和大腦疾病或損傷引起的肌肉痙攣」，其中文仿單於「用法用量」處已刊載「</w:t>
            </w:r>
            <w:r w:rsidR="000A6FE0">
              <w:rPr>
                <w:rFonts w:ascii="Times New Roman" w:eastAsia="標楷體" w:hAnsi="Times New Roman" w:hint="eastAsia"/>
                <w:kern w:val="0"/>
                <w:szCs w:val="24"/>
              </w:rPr>
              <w:t>通常成人初期量每日</w:t>
            </w:r>
            <w:r w:rsidR="000A6FE0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0A6FE0">
              <w:rPr>
                <w:rFonts w:ascii="Times New Roman" w:eastAsia="標楷體" w:hAnsi="Times New Roman" w:hint="eastAsia"/>
                <w:kern w:val="0"/>
                <w:szCs w:val="24"/>
              </w:rPr>
              <w:t>次，每次服用</w:t>
            </w:r>
            <w:r w:rsidR="000A6FE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5 </w:t>
            </w:r>
            <w:r w:rsidR="000A6FE0">
              <w:rPr>
                <w:rFonts w:ascii="Times New Roman" w:eastAsia="標楷體" w:hAnsi="Times New Roman"/>
                <w:kern w:val="0"/>
                <w:szCs w:val="24"/>
              </w:rPr>
              <w:t>mg</w:t>
            </w:r>
            <w:r w:rsidR="000A6FE0">
              <w:rPr>
                <w:rFonts w:ascii="Times New Roman" w:eastAsia="標楷體" w:hAnsi="Times New Roman" w:hint="eastAsia"/>
                <w:kern w:val="0"/>
                <w:szCs w:val="24"/>
              </w:rPr>
              <w:t>，視症狀之須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要每隔四日每日可增量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15 </w:t>
            </w:r>
            <w:r w:rsidR="00D27DE5">
              <w:rPr>
                <w:rFonts w:ascii="Times New Roman" w:eastAsia="標楷體" w:hAnsi="Times New Roman"/>
                <w:kern w:val="0"/>
                <w:szCs w:val="24"/>
              </w:rPr>
              <w:t>mg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，至每日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3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次，每次服用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="00D27DE5">
              <w:rPr>
                <w:rFonts w:ascii="Times New Roman" w:eastAsia="標楷體" w:hAnsi="Times New Roman"/>
                <w:kern w:val="0"/>
                <w:szCs w:val="24"/>
              </w:rPr>
              <w:t xml:space="preserve"> mg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，或至呈現療效為止，但一日劑量不可超過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80 </w:t>
            </w:r>
            <w:r w:rsidR="00D27DE5">
              <w:rPr>
                <w:rFonts w:ascii="Times New Roman" w:eastAsia="標楷體" w:hAnsi="Times New Roman"/>
                <w:kern w:val="0"/>
                <w:szCs w:val="24"/>
              </w:rPr>
              <w:t>mg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」；於「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注意事項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」處刊載「</w:t>
            </w:r>
            <w:r w:rsidR="00D27DE5"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慎重投予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：有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精神障礙患者」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及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r w:rsidR="00D27DE5">
              <w:rPr>
                <w:rFonts w:ascii="Times New Roman" w:eastAsia="標楷體" w:hAnsi="Times New Roman" w:hint="eastAsia"/>
                <w:kern w:val="0"/>
                <w:szCs w:val="24"/>
              </w:rPr>
              <w:t>副作用：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精神神經系：偶有嗜眠、頭痛、頭重、知覺異常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麻木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、筋肉痛、鎮靜、抑鬱、意識障害、幻覺、情緒不安定</w:t>
            </w:r>
            <w:r w:rsidR="00B112C4"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 w:rsidRPr="008D5B94">
              <w:rPr>
                <w:rFonts w:ascii="Times New Roman" w:eastAsia="標楷體" w:hAnsi="Times New Roman" w:hint="eastAsia"/>
                <w:kern w:val="0"/>
                <w:szCs w:val="24"/>
              </w:rPr>
              <w:t>；依存性：幻覺、錯亂」等安全性資訊，</w:t>
            </w:r>
            <w:r w:rsidRPr="00DA239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惟未刊載自殺意念或自殺</w:t>
            </w:r>
            <w:r w:rsidR="00A37F3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、</w:t>
            </w:r>
            <w:r w:rsidR="00763754" w:rsidRPr="007637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藥物依賴</w:t>
            </w:r>
            <w:r w:rsidR="00A37F3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等</w:t>
            </w:r>
            <w:r w:rsidRPr="00DA239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不良反應</w:t>
            </w:r>
            <w:r w:rsidR="001E0DD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；</w:t>
            </w:r>
            <w:r w:rsidR="00931670" w:rsidRPr="0093167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患有精神疾病</w:t>
            </w:r>
            <w:r w:rsidR="002030A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、</w:t>
            </w:r>
            <w:r w:rsidR="00931670" w:rsidRPr="0093167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酗酒障礙</w:t>
            </w:r>
            <w:r w:rsidR="002030A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及</w:t>
            </w:r>
            <w:r w:rsidR="002030AF" w:rsidRPr="00DA239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藥物濫用史之</w:t>
            </w:r>
            <w:r w:rsidR="002030A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病人</w:t>
            </w:r>
            <w:bookmarkStart w:id="1" w:name="_Hlk151554492"/>
            <w:r w:rsidR="00931670" w:rsidRPr="0093167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可能會使</w:t>
            </w:r>
            <w:r w:rsidR="0008752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發生</w:t>
            </w:r>
            <w:r w:rsidR="008A360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與</w:t>
            </w:r>
            <w:r w:rsidR="00087528" w:rsidRPr="00DA239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自殺相關</w:t>
            </w:r>
            <w:r w:rsidR="0008752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之</w:t>
            </w:r>
            <w:r w:rsidR="00931670" w:rsidRPr="0093167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風險增加</w:t>
            </w:r>
            <w:bookmarkEnd w:id="1"/>
            <w:r w:rsidRPr="00DA239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等風險資訊。</w:t>
            </w:r>
          </w:p>
          <w:p w14:paraId="538157A3" w14:textId="77777777" w:rsidR="00DA2398" w:rsidRPr="00B65547" w:rsidRDefault="00DA2398" w:rsidP="008D5B94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</w:t>
            </w:r>
            <w:proofErr w:type="gramEnd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正評估是否針對該藥品採取進一步風險管控措施。</w:t>
            </w:r>
          </w:p>
          <w:p w14:paraId="400A3A8E" w14:textId="77777777" w:rsidR="00B65547" w:rsidRDefault="00B65547" w:rsidP="00B65547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D5175D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醫療人員應注意事項：</w:t>
            </w:r>
          </w:p>
          <w:p w14:paraId="2876A84F" w14:textId="724665C4" w:rsidR="00B65547" w:rsidRDefault="00183F81" w:rsidP="00B65547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國外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曾接獲使用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baclofen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的病人發生自殺</w:t>
            </w:r>
            <w:r w:rsidR="0029108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或與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自殺相關事件，以及誤用、濫用、藥物依賴之案例，應密切</w:t>
            </w:r>
            <w:r w:rsidR="00A8147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注意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及謹慎用於酒精使用障礙、身心症、</w:t>
            </w:r>
            <w:proofErr w:type="gramStart"/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思覺失調</w:t>
            </w:r>
            <w:proofErr w:type="gramEnd"/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症、憂鬱症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躁症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瞻</w:t>
            </w:r>
            <w:r w:rsidR="00B655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妄</w:t>
            </w:r>
            <w:r w:rsidR="00B65547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、曾有自殺意念或藥品濫用史的病人。</w:t>
            </w:r>
          </w:p>
          <w:p w14:paraId="3AABCB1D" w14:textId="6216C8D7" w:rsidR="009D47EB" w:rsidRDefault="00183F81" w:rsidP="00B65547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請</w:t>
            </w:r>
            <w:r w:rsidR="009D47E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提醒病人及照護者須持續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注意</w:t>
            </w:r>
            <w:r w:rsidR="009D47E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="009D47E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倘用藥期間發生臨床症狀惡化</w:t>
            </w:r>
            <w:r w:rsidR="009D47E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、自殺行為或意念、行為異常變化等，應立即尋求醫療協助</w:t>
            </w:r>
            <w:r w:rsidR="009D47EB" w:rsidRPr="00E11D7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14:paraId="71115193" w14:textId="2AE90354" w:rsidR="002E33F2" w:rsidRDefault="002E33F2" w:rsidP="00B65547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若</w:t>
            </w:r>
            <w:r w:rsidRPr="00723E6C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 w:rsidR="00183F8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高劑量</w:t>
            </w:r>
            <w:r w:rsidRPr="00723E6C">
              <w:rPr>
                <w:rFonts w:ascii="Times New Roman" w:eastAsia="標楷體" w:hAnsi="Times New Roman"/>
                <w:kern w:val="0"/>
                <w:szCs w:val="24"/>
              </w:rPr>
              <w:t>baclofen</w:t>
            </w:r>
            <w:r w:rsidRPr="00723E6C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A81470">
              <w:rPr>
                <w:rFonts w:ascii="Times New Roman" w:eastAsia="標楷體" w:hAnsi="Times New Roman" w:hint="eastAsia"/>
                <w:kern w:val="0"/>
                <w:szCs w:val="24"/>
              </w:rPr>
              <w:t>可能使發生自殺相關之風險增加，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</w:t>
            </w:r>
            <w:r w:rsidR="00A21536" w:rsidRPr="004F427C">
              <w:rPr>
                <w:rFonts w:ascii="Times New Roman" w:eastAsia="標楷體" w:hAnsi="Times New Roman" w:hint="eastAsia"/>
                <w:kern w:val="0"/>
                <w:szCs w:val="24"/>
              </w:rPr>
              <w:t>密切</w:t>
            </w:r>
            <w:r w:rsidR="00A21536">
              <w:rPr>
                <w:rFonts w:ascii="Times New Roman" w:eastAsia="標楷體" w:hAnsi="Times New Roman" w:hint="eastAsia"/>
                <w:kern w:val="0"/>
                <w:szCs w:val="24"/>
              </w:rPr>
              <w:t>注意病人</w:t>
            </w:r>
            <w:r w:rsidR="00A81470">
              <w:rPr>
                <w:rFonts w:ascii="Times New Roman" w:eastAsia="標楷體" w:hAnsi="Times New Roman" w:hint="eastAsia"/>
                <w:kern w:val="0"/>
                <w:szCs w:val="24"/>
              </w:rPr>
              <w:t>之情形</w:t>
            </w:r>
            <w:r w:rsidR="00FA1A65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0319426C" w14:textId="2D9D6DE4" w:rsidR="00B65547" w:rsidRPr="002E33F2" w:rsidRDefault="00B65547" w:rsidP="002E33F2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D5175D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病人應注意事項：</w:t>
            </w:r>
          </w:p>
          <w:p w14:paraId="7B15E2A1" w14:textId="6ACFED4E" w:rsidR="00B65547" w:rsidRPr="00723E6C" w:rsidRDefault="00B65547" w:rsidP="00B65547">
            <w:pPr>
              <w:widowControl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23E6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若您曾患有</w:t>
            </w:r>
            <w:r w:rsidR="000C3B0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酗酒</w:t>
            </w:r>
            <w:r w:rsidR="00667441" w:rsidRPr="00B14BF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身心症、</w:t>
            </w:r>
            <w:proofErr w:type="gramStart"/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思覺失調</w:t>
            </w:r>
            <w:proofErr w:type="gramEnd"/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症、憂鬱症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/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躁症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/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瞻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妄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曾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有自殺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意念</w:t>
            </w:r>
            <w:r w:rsidRPr="00D721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或藥品濫用史</w:t>
            </w:r>
            <w:r w:rsidRPr="00723E6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請於</w:t>
            </w:r>
            <w:r w:rsidR="00EA0FB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就醫時</w:t>
            </w:r>
            <w:r w:rsidR="000238C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告知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處方醫師</w:t>
            </w:r>
            <w:r w:rsidRPr="00723E6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。</w:t>
            </w:r>
          </w:p>
          <w:p w14:paraId="11A43093" w14:textId="77777777" w:rsidR="00B65547" w:rsidRPr="00723E6C" w:rsidRDefault="00B65547" w:rsidP="00B65547">
            <w:pPr>
              <w:widowControl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23E6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您</w:t>
            </w:r>
            <w:r w:rsidRPr="00723E6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於服藥期間出現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病症惡化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自殺意念或行為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行為異常變化</w:t>
            </w:r>
            <w:r w:rsidRPr="00723E6C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等，請立即尋求醫療協助。</w:t>
            </w:r>
          </w:p>
          <w:p w14:paraId="5BB60CCF" w14:textId="0064214D" w:rsidR="00B65547" w:rsidRPr="00B65547" w:rsidRDefault="00B65547" w:rsidP="00B65547">
            <w:pPr>
              <w:widowControl/>
              <w:shd w:val="clear" w:color="auto" w:fill="FFFFFF"/>
              <w:ind w:left="456" w:hangingChars="190" w:hanging="456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 w:rsidRPr="004F3769">
              <w:rPr>
                <w:rFonts w:ascii="Times New Roman" w:eastAsia="標楷體" w:hAnsi="標楷體" w:hint="eastAsia"/>
              </w:rPr>
              <w:t>醫療人員或病人懷疑因為使用（服用）藥品導致不良反應發生時，請立即通報給衛生</w:t>
            </w:r>
            <w:proofErr w:type="gramStart"/>
            <w:r w:rsidRPr="004F3769">
              <w:rPr>
                <w:rFonts w:ascii="Times New Roman" w:eastAsia="標楷體" w:hAnsi="標楷體" w:hint="eastAsia"/>
              </w:rPr>
              <w:t>福利部所建置</w:t>
            </w:r>
            <w:proofErr w:type="gramEnd"/>
            <w:r w:rsidRPr="004F3769">
              <w:rPr>
                <w:rFonts w:ascii="Times New Roman" w:eastAsia="標楷體" w:hAnsi="標楷體" w:hint="eastAsia"/>
              </w:rPr>
              <w:t>之全國藥物不良反應通報中心，並副知所屬廠商，藥物不良反應通報專線</w:t>
            </w:r>
            <w:r w:rsidRPr="00B41E2B">
              <w:rPr>
                <w:rFonts w:ascii="Times New Roman" w:eastAsia="標楷體" w:hAnsi="標楷體"/>
              </w:rPr>
              <w:t>02-2396-0100</w:t>
            </w:r>
            <w:r w:rsidRPr="004F3769">
              <w:rPr>
                <w:rFonts w:ascii="Times New Roman" w:eastAsia="標楷體" w:hAnsi="標楷體" w:hint="eastAsia"/>
              </w:rPr>
              <w:t>，網站：</w:t>
            </w:r>
            <w:hyperlink r:id="rId9" w:history="1">
              <w:r w:rsidRPr="00FC5AC6">
                <w:rPr>
                  <w:rStyle w:val="a4"/>
                  <w:rFonts w:ascii="Times New Roman" w:eastAsia="標楷體"/>
                </w:rPr>
                <w:t>http</w:t>
              </w:r>
              <w:r w:rsidRPr="00FC5AC6">
                <w:rPr>
                  <w:rStyle w:val="a4"/>
                  <w:rFonts w:ascii="Times New Roman" w:eastAsia="標楷體" w:hint="eastAsia"/>
                </w:rPr>
                <w:t>s</w:t>
              </w:r>
              <w:r w:rsidRPr="00FC5AC6">
                <w:rPr>
                  <w:rStyle w:val="a4"/>
                  <w:rFonts w:ascii="Times New Roman" w:eastAsia="標楷體"/>
                </w:rPr>
                <w:t>://adr.fda.gov.tw</w:t>
              </w:r>
            </w:hyperlink>
            <w:r w:rsidRPr="004F3769">
              <w:rPr>
                <w:rFonts w:ascii="Times New Roman" w:eastAsia="標楷體" w:hAnsi="標楷體" w:hint="eastAsia"/>
              </w:rPr>
              <w:t>；衛生福利部食品藥物管理署獲知藥品安全訊息時，</w:t>
            </w:r>
            <w:proofErr w:type="gramStart"/>
            <w:r w:rsidRPr="004F3769">
              <w:rPr>
                <w:rFonts w:ascii="Times New Roman" w:eastAsia="標楷體" w:hAnsi="標楷體" w:hint="eastAsia"/>
              </w:rPr>
              <w:t>均會蒐集</w:t>
            </w:r>
            <w:proofErr w:type="gramEnd"/>
            <w:r w:rsidRPr="004F3769">
              <w:rPr>
                <w:rFonts w:ascii="Times New Roman" w:eastAsia="標楷體" w:hAnsi="標楷體" w:hint="eastAsia"/>
              </w:rPr>
              <w:t>彙整相關資料進行評估，並對於新增之藥品風險採取對應之風險管控措施</w:t>
            </w:r>
            <w:r w:rsidRPr="00B41E2B">
              <w:rPr>
                <w:rFonts w:ascii="Times New Roman" w:eastAsia="標楷體" w:hAnsi="標楷體" w:hint="eastAsia"/>
              </w:rPr>
              <w:t>。</w:t>
            </w:r>
          </w:p>
        </w:tc>
      </w:tr>
    </w:tbl>
    <w:p w14:paraId="754E6DD5" w14:textId="77777777" w:rsidR="0026262E" w:rsidRPr="00790553" w:rsidRDefault="0026262E"/>
    <w:sectPr w:rsidR="0026262E" w:rsidRPr="007905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CD26" w14:textId="77777777" w:rsidR="00027B85" w:rsidRDefault="00027B85" w:rsidP="004761F0">
      <w:r>
        <w:separator/>
      </w:r>
    </w:p>
  </w:endnote>
  <w:endnote w:type="continuationSeparator" w:id="0">
    <w:p w14:paraId="20EB4930" w14:textId="77777777" w:rsidR="00027B85" w:rsidRDefault="00027B85" w:rsidP="0047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A8AB" w14:textId="77777777" w:rsidR="00027B85" w:rsidRDefault="00027B85" w:rsidP="004761F0">
      <w:r>
        <w:separator/>
      </w:r>
    </w:p>
  </w:footnote>
  <w:footnote w:type="continuationSeparator" w:id="0">
    <w:p w14:paraId="0E051E0A" w14:textId="77777777" w:rsidR="00027B85" w:rsidRDefault="00027B85" w:rsidP="0047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971"/>
    <w:multiLevelType w:val="hybridMultilevel"/>
    <w:tmpl w:val="410E481E"/>
    <w:lvl w:ilvl="0" w:tplc="0BA63436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4D71B0"/>
    <w:multiLevelType w:val="hybridMultilevel"/>
    <w:tmpl w:val="7244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A17636"/>
    <w:multiLevelType w:val="hybridMultilevel"/>
    <w:tmpl w:val="9A760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B60E78"/>
    <w:multiLevelType w:val="hybridMultilevel"/>
    <w:tmpl w:val="74FA0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351253"/>
    <w:multiLevelType w:val="hybridMultilevel"/>
    <w:tmpl w:val="7244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E70029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CD2C8B"/>
    <w:multiLevelType w:val="hybridMultilevel"/>
    <w:tmpl w:val="F9C8374A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A962CDA">
      <w:start w:val="99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3"/>
    <w:rsid w:val="00015E16"/>
    <w:rsid w:val="000238CF"/>
    <w:rsid w:val="00027B85"/>
    <w:rsid w:val="00040F9B"/>
    <w:rsid w:val="00057AB7"/>
    <w:rsid w:val="00087528"/>
    <w:rsid w:val="000A6FE0"/>
    <w:rsid w:val="000B459F"/>
    <w:rsid w:val="000C27BF"/>
    <w:rsid w:val="000C3B0F"/>
    <w:rsid w:val="000F4372"/>
    <w:rsid w:val="00137EEF"/>
    <w:rsid w:val="00152CDF"/>
    <w:rsid w:val="001769B6"/>
    <w:rsid w:val="00183F81"/>
    <w:rsid w:val="001B2DC4"/>
    <w:rsid w:val="001C4506"/>
    <w:rsid w:val="001E0DDD"/>
    <w:rsid w:val="002030AF"/>
    <w:rsid w:val="00250FC8"/>
    <w:rsid w:val="00252A37"/>
    <w:rsid w:val="00257234"/>
    <w:rsid w:val="00260A8C"/>
    <w:rsid w:val="0026262E"/>
    <w:rsid w:val="00271219"/>
    <w:rsid w:val="0029108A"/>
    <w:rsid w:val="002E33F2"/>
    <w:rsid w:val="002F6653"/>
    <w:rsid w:val="0032603D"/>
    <w:rsid w:val="00363D83"/>
    <w:rsid w:val="003A2BE9"/>
    <w:rsid w:val="003B46BA"/>
    <w:rsid w:val="003C062C"/>
    <w:rsid w:val="003D43A8"/>
    <w:rsid w:val="003E3C57"/>
    <w:rsid w:val="003F11F5"/>
    <w:rsid w:val="00400EBC"/>
    <w:rsid w:val="00411F1D"/>
    <w:rsid w:val="004761F0"/>
    <w:rsid w:val="004777CE"/>
    <w:rsid w:val="00497E15"/>
    <w:rsid w:val="004A35F4"/>
    <w:rsid w:val="004A636E"/>
    <w:rsid w:val="004B7BBB"/>
    <w:rsid w:val="004F2AA7"/>
    <w:rsid w:val="00510251"/>
    <w:rsid w:val="00520D86"/>
    <w:rsid w:val="0052693D"/>
    <w:rsid w:val="005549EF"/>
    <w:rsid w:val="00573437"/>
    <w:rsid w:val="00574281"/>
    <w:rsid w:val="005B0AA0"/>
    <w:rsid w:val="00603B4F"/>
    <w:rsid w:val="00614558"/>
    <w:rsid w:val="00615B65"/>
    <w:rsid w:val="0063186E"/>
    <w:rsid w:val="006519B9"/>
    <w:rsid w:val="00667441"/>
    <w:rsid w:val="00675E8F"/>
    <w:rsid w:val="00697C58"/>
    <w:rsid w:val="006B2AC6"/>
    <w:rsid w:val="006F183C"/>
    <w:rsid w:val="006F2161"/>
    <w:rsid w:val="00714ABA"/>
    <w:rsid w:val="0075759E"/>
    <w:rsid w:val="00763754"/>
    <w:rsid w:val="00790553"/>
    <w:rsid w:val="007D5BB9"/>
    <w:rsid w:val="007E7280"/>
    <w:rsid w:val="00823602"/>
    <w:rsid w:val="00825E55"/>
    <w:rsid w:val="00845062"/>
    <w:rsid w:val="008857CF"/>
    <w:rsid w:val="008947EC"/>
    <w:rsid w:val="008A360E"/>
    <w:rsid w:val="008A7DB0"/>
    <w:rsid w:val="008D5B94"/>
    <w:rsid w:val="00902346"/>
    <w:rsid w:val="0091241F"/>
    <w:rsid w:val="00921540"/>
    <w:rsid w:val="00931670"/>
    <w:rsid w:val="00955063"/>
    <w:rsid w:val="009759D3"/>
    <w:rsid w:val="009D47EB"/>
    <w:rsid w:val="009E441A"/>
    <w:rsid w:val="00A21536"/>
    <w:rsid w:val="00A34051"/>
    <w:rsid w:val="00A37F3E"/>
    <w:rsid w:val="00A57F09"/>
    <w:rsid w:val="00A675E9"/>
    <w:rsid w:val="00A81470"/>
    <w:rsid w:val="00A9008B"/>
    <w:rsid w:val="00AC3249"/>
    <w:rsid w:val="00AD3AE7"/>
    <w:rsid w:val="00B0187B"/>
    <w:rsid w:val="00B112C4"/>
    <w:rsid w:val="00B11590"/>
    <w:rsid w:val="00B11A22"/>
    <w:rsid w:val="00B14BFC"/>
    <w:rsid w:val="00B65547"/>
    <w:rsid w:val="00B67FDA"/>
    <w:rsid w:val="00B96E03"/>
    <w:rsid w:val="00BA510B"/>
    <w:rsid w:val="00BE5BCC"/>
    <w:rsid w:val="00BF24D5"/>
    <w:rsid w:val="00C0464E"/>
    <w:rsid w:val="00C5299B"/>
    <w:rsid w:val="00C60E7E"/>
    <w:rsid w:val="00C808E6"/>
    <w:rsid w:val="00CA1FCE"/>
    <w:rsid w:val="00D00DA0"/>
    <w:rsid w:val="00D11B32"/>
    <w:rsid w:val="00D27DE5"/>
    <w:rsid w:val="00D94E1B"/>
    <w:rsid w:val="00D95337"/>
    <w:rsid w:val="00DA2398"/>
    <w:rsid w:val="00DA70A1"/>
    <w:rsid w:val="00DC09BD"/>
    <w:rsid w:val="00DE4F32"/>
    <w:rsid w:val="00E265EC"/>
    <w:rsid w:val="00EA0FB8"/>
    <w:rsid w:val="00EB0910"/>
    <w:rsid w:val="00EB11A2"/>
    <w:rsid w:val="00ED5497"/>
    <w:rsid w:val="00F2000C"/>
    <w:rsid w:val="00F371F8"/>
    <w:rsid w:val="00F51C81"/>
    <w:rsid w:val="00F67F39"/>
    <w:rsid w:val="00F95531"/>
    <w:rsid w:val="00FA1A65"/>
    <w:rsid w:val="00FA48C2"/>
    <w:rsid w:val="00FB0713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2211D"/>
  <w15:chartTrackingRefBased/>
  <w15:docId w15:val="{D03BE2F3-E226-449E-98B1-DDDC376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5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7905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790553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7905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790553"/>
    <w:pPr>
      <w:ind w:leftChars="200" w:left="480"/>
    </w:pPr>
  </w:style>
  <w:style w:type="character" w:styleId="a4">
    <w:name w:val="Hyperlink"/>
    <w:basedOn w:val="a0"/>
    <w:uiPriority w:val="99"/>
    <w:rsid w:val="0079055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1F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1F0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52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news/safety-alerts/be-alert-if-you-are-taking-baclofen-high-do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a.gov.tw/mlms/H000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r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306</Words>
  <Characters>1750</Characters>
  <Application>Microsoft Office Word</Application>
  <DocSecurity>0</DocSecurity>
  <Lines>14</Lines>
  <Paragraphs>4</Paragraphs>
  <ScaleCrop>false</ScaleCrop>
  <Company>TDRF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</dc:creator>
  <cp:keywords/>
  <dc:description/>
  <cp:lastModifiedBy>洪千月</cp:lastModifiedBy>
  <cp:revision>115</cp:revision>
  <cp:lastPrinted>2023-11-21T05:34:00Z</cp:lastPrinted>
  <dcterms:created xsi:type="dcterms:W3CDTF">2023-10-25T03:09:00Z</dcterms:created>
  <dcterms:modified xsi:type="dcterms:W3CDTF">2023-11-23T06:20:00Z</dcterms:modified>
</cp:coreProperties>
</file>