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CF39" w14:textId="1B466B12" w:rsidR="00874639" w:rsidRPr="00D82BD3" w:rsidRDefault="00FB583B" w:rsidP="00707B8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2BD3">
        <w:rPr>
          <w:rFonts w:ascii="Times New Roman" w:eastAsia="標楷體" w:hAnsi="Times New Roman" w:cs="Times New Roman"/>
          <w:b/>
          <w:sz w:val="36"/>
          <w:szCs w:val="36"/>
        </w:rPr>
        <w:t>含</w:t>
      </w:r>
      <w:r w:rsidR="009B02AC" w:rsidRPr="00D82BD3">
        <w:rPr>
          <w:rFonts w:ascii="Times New Roman" w:eastAsia="標楷體" w:hAnsi="Times New Roman" w:cs="Times New Roman"/>
          <w:b/>
          <w:sz w:val="36"/>
          <w:szCs w:val="36"/>
        </w:rPr>
        <w:t>rituximab</w:t>
      </w:r>
      <w:r w:rsidR="00C57C97" w:rsidRPr="00D82BD3">
        <w:rPr>
          <w:rFonts w:ascii="Times New Roman" w:eastAsia="標楷體" w:hAnsi="Times New Roman" w:cs="Times New Roman"/>
          <w:b/>
          <w:sz w:val="36"/>
          <w:szCs w:val="36"/>
        </w:rPr>
        <w:t>成分藥品安全資訊風險溝通表</w:t>
      </w:r>
    </w:p>
    <w:p w14:paraId="627EC8FF" w14:textId="222D4B5F" w:rsidR="00707B8C" w:rsidRPr="00D82BD3" w:rsidRDefault="00707B8C" w:rsidP="00707B8C">
      <w:pPr>
        <w:jc w:val="right"/>
        <w:rPr>
          <w:rFonts w:ascii="Times New Roman" w:eastAsia="標楷體" w:hAnsi="Times New Roman" w:cs="Times New Roman"/>
          <w:szCs w:val="24"/>
        </w:rPr>
      </w:pPr>
      <w:r w:rsidRPr="00D82BD3">
        <w:rPr>
          <w:rFonts w:ascii="Times New Roman" w:eastAsia="標楷體" w:hAnsi="Times New Roman" w:cs="Times New Roman"/>
          <w:szCs w:val="24"/>
        </w:rPr>
        <w:t>日期：</w:t>
      </w:r>
      <w:r w:rsidR="008B19C4" w:rsidRPr="00D82BD3">
        <w:rPr>
          <w:rFonts w:ascii="Times New Roman" w:eastAsia="標楷體" w:hAnsi="Times New Roman" w:cs="Times New Roman"/>
          <w:szCs w:val="24"/>
        </w:rPr>
        <w:t>11</w:t>
      </w:r>
      <w:r w:rsidR="009B02AC" w:rsidRPr="00D82BD3">
        <w:rPr>
          <w:rFonts w:ascii="Times New Roman" w:eastAsia="標楷體" w:hAnsi="Times New Roman" w:cs="Times New Roman"/>
          <w:szCs w:val="24"/>
        </w:rPr>
        <w:t>2</w:t>
      </w:r>
      <w:r w:rsidR="008B19C4" w:rsidRPr="00D82BD3">
        <w:rPr>
          <w:rFonts w:ascii="Times New Roman" w:eastAsia="標楷體" w:hAnsi="Times New Roman" w:cs="Times New Roman"/>
          <w:szCs w:val="24"/>
        </w:rPr>
        <w:t>/</w:t>
      </w:r>
      <w:r w:rsidR="009B02AC" w:rsidRPr="00D82BD3">
        <w:rPr>
          <w:rFonts w:ascii="Times New Roman" w:eastAsia="標楷體" w:hAnsi="Times New Roman" w:cs="Times New Roman"/>
          <w:szCs w:val="24"/>
        </w:rPr>
        <w:t>0</w:t>
      </w:r>
      <w:r w:rsidR="00B627D9">
        <w:rPr>
          <w:rFonts w:ascii="Times New Roman" w:eastAsia="標楷體" w:hAnsi="Times New Roman" w:cs="Times New Roman" w:hint="eastAsia"/>
          <w:szCs w:val="24"/>
        </w:rPr>
        <w:t>5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41"/>
      </w:tblGrid>
      <w:tr w:rsidR="00707B8C" w:rsidRPr="00D82BD3" w14:paraId="1074C10E" w14:textId="77777777" w:rsidTr="00543FB1">
        <w:trPr>
          <w:trHeight w:val="333"/>
          <w:jc w:val="center"/>
        </w:trPr>
        <w:tc>
          <w:tcPr>
            <w:tcW w:w="1988" w:type="dxa"/>
            <w:vAlign w:val="center"/>
          </w:tcPr>
          <w:p w14:paraId="34F1D241" w14:textId="77777777" w:rsidR="00707B8C" w:rsidRPr="00D82BD3" w:rsidRDefault="00707B8C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szCs w:val="24"/>
              </w:rPr>
              <w:t>藥品成分</w:t>
            </w:r>
          </w:p>
        </w:tc>
        <w:tc>
          <w:tcPr>
            <w:tcW w:w="7741" w:type="dxa"/>
          </w:tcPr>
          <w:p w14:paraId="3C1BC581" w14:textId="38FE8AAE" w:rsidR="00AD657B" w:rsidRPr="00D82BD3" w:rsidRDefault="00286969" w:rsidP="00147E19">
            <w:pPr>
              <w:widowControl/>
              <w:jc w:val="both"/>
              <w:outlineLvl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Rituximab</w:t>
            </w:r>
            <w:r w:rsidR="000E22A4" w:rsidRPr="00D82B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707B8C" w:rsidRPr="00D82BD3" w14:paraId="6DC252F5" w14:textId="77777777" w:rsidTr="00543FB1">
        <w:trPr>
          <w:trHeight w:val="333"/>
          <w:jc w:val="center"/>
        </w:trPr>
        <w:tc>
          <w:tcPr>
            <w:tcW w:w="1988" w:type="dxa"/>
            <w:vAlign w:val="center"/>
          </w:tcPr>
          <w:p w14:paraId="6A1EEBBB" w14:textId="77777777" w:rsidR="00707B8C" w:rsidRPr="00D82BD3" w:rsidRDefault="00707B8C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szCs w:val="24"/>
              </w:rPr>
              <w:t>藥品名稱</w:t>
            </w:r>
          </w:p>
          <w:p w14:paraId="3F46673C" w14:textId="77777777" w:rsidR="00707B8C" w:rsidRPr="00D82BD3" w:rsidRDefault="00707B8C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szCs w:val="24"/>
              </w:rPr>
              <w:t>及許可證字號</w:t>
            </w:r>
          </w:p>
        </w:tc>
        <w:tc>
          <w:tcPr>
            <w:tcW w:w="7741" w:type="dxa"/>
          </w:tcPr>
          <w:p w14:paraId="0AF33DC5" w14:textId="1A46290C" w:rsidR="00095F30" w:rsidRPr="00D82BD3" w:rsidRDefault="00C57C97" w:rsidP="00B71B62">
            <w:pPr>
              <w:widowControl/>
              <w:jc w:val="both"/>
              <w:outlineLvl w:val="0"/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</w:pPr>
            <w:r w:rsidRPr="00D82B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衛生福利部核准</w:t>
            </w:r>
            <w:r w:rsidR="00FB583B" w:rsidRPr="00D82B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</w:t>
            </w:r>
            <w:r w:rsidR="00286969" w:rsidRPr="00D82B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rituximab</w:t>
            </w:r>
            <w:r w:rsidRPr="00D82B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成分藥品製劑許可證共</w:t>
            </w:r>
            <w:r w:rsidR="00D92F6B" w:rsidRPr="00D82B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D82BD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</w:t>
            </w:r>
            <w:r w:rsidR="00707B8C" w:rsidRPr="00D82BD3"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  <w:t>。</w:t>
            </w:r>
          </w:p>
          <w:p w14:paraId="3095614B" w14:textId="77777777" w:rsidR="00707B8C" w:rsidRPr="00D82BD3" w:rsidRDefault="00707B8C" w:rsidP="00095F30">
            <w:pPr>
              <w:widowControl/>
              <w:jc w:val="both"/>
              <w:outlineLvl w:val="0"/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</w:pPr>
            <w:r w:rsidRPr="00D82BD3"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  <w:t>查詢網址</w:t>
            </w:r>
            <w:r w:rsidR="00095F30" w:rsidRPr="00D82BD3">
              <w:rPr>
                <w:rFonts w:ascii="Times New Roman" w:eastAsia="標楷體" w:hAnsi="Times New Roman" w:cs="Times New Roman"/>
                <w:color w:val="000000"/>
                <w:kern w:val="36"/>
                <w:szCs w:val="24"/>
                <w:lang w:bidi="hi-IN"/>
              </w:rPr>
              <w:t>：</w:t>
            </w:r>
            <w:hyperlink r:id="rId8" w:history="1">
              <w:r w:rsidRPr="00D82BD3">
                <w:rPr>
                  <w:rFonts w:ascii="Times New Roman" w:eastAsia="標楷體" w:hAnsi="Times New Roman" w:cs="Times New Roman"/>
                  <w:bCs/>
                  <w:color w:val="0000FF"/>
                  <w:kern w:val="36"/>
                  <w:szCs w:val="24"/>
                  <w:u w:val="single"/>
                  <w:lang w:bidi="hi-IN"/>
                </w:rPr>
                <w:t>https://www.fda.gov.tw/mlms/H0001.aspx</w:t>
              </w:r>
            </w:hyperlink>
          </w:p>
        </w:tc>
      </w:tr>
      <w:tr w:rsidR="00707B8C" w:rsidRPr="00D82BD3" w14:paraId="71563CDB" w14:textId="77777777" w:rsidTr="00543FB1">
        <w:trPr>
          <w:trHeight w:val="333"/>
          <w:jc w:val="center"/>
        </w:trPr>
        <w:tc>
          <w:tcPr>
            <w:tcW w:w="1988" w:type="dxa"/>
            <w:vAlign w:val="center"/>
          </w:tcPr>
          <w:p w14:paraId="52F5839A" w14:textId="77777777" w:rsidR="00707B8C" w:rsidRPr="00D82BD3" w:rsidRDefault="00707B8C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color w:val="000000"/>
                <w:szCs w:val="24"/>
              </w:rPr>
              <w:t>適應症</w:t>
            </w:r>
          </w:p>
        </w:tc>
        <w:tc>
          <w:tcPr>
            <w:tcW w:w="7741" w:type="dxa"/>
          </w:tcPr>
          <w:p w14:paraId="2FC69BDD" w14:textId="238EBBCD" w:rsidR="00CA7B27" w:rsidRPr="00D82BD3" w:rsidRDefault="006B70EB" w:rsidP="00147E19">
            <w:pPr>
              <w:tabs>
                <w:tab w:val="left" w:pos="1010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color w:val="000000"/>
                <w:szCs w:val="24"/>
              </w:rPr>
              <w:t>詳見附件一</w:t>
            </w:r>
            <w:r w:rsidR="008B19C4" w:rsidRPr="00D82BD3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</w:tr>
      <w:tr w:rsidR="00707B8C" w:rsidRPr="00D82BD3" w14:paraId="4FF99351" w14:textId="77777777" w:rsidTr="00543FB1">
        <w:trPr>
          <w:jc w:val="center"/>
        </w:trPr>
        <w:tc>
          <w:tcPr>
            <w:tcW w:w="1988" w:type="dxa"/>
            <w:vAlign w:val="center"/>
          </w:tcPr>
          <w:p w14:paraId="14699A04" w14:textId="77777777" w:rsidR="00707B8C" w:rsidRPr="00D82BD3" w:rsidRDefault="00707B8C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szCs w:val="24"/>
              </w:rPr>
              <w:t>藥理作用機轉</w:t>
            </w:r>
          </w:p>
        </w:tc>
        <w:tc>
          <w:tcPr>
            <w:tcW w:w="7741" w:type="dxa"/>
          </w:tcPr>
          <w:p w14:paraId="32465A0E" w14:textId="79714AD1" w:rsidR="00093242" w:rsidRPr="00E65A7F" w:rsidRDefault="00C3457C" w:rsidP="00E65A7F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57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Rituximab</w:t>
            </w:r>
            <w:r w:rsidRPr="00C3457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是嫁接的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(</w:t>
            </w:r>
            <w:r w:rsidRPr="00C3457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chimeric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C3457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C3457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鼠</w:t>
            </w:r>
            <w:r w:rsidRPr="00C3457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C3457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人類單株抗體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與在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淋巴細胞上的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CD20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抗原結合，且啟動免疫反應，以促成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B-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細胞的溶解。細胞溶解的可能機制</w:t>
            </w:r>
            <w:proofErr w:type="gramStart"/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包括補體依賴</w:t>
            </w:r>
            <w:proofErr w:type="gramEnd"/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的細胞毒殺作用</w:t>
            </w:r>
            <w:r w:rsid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(CDC)</w:t>
            </w:r>
            <w:r w:rsid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及抗體依賴的細胞毒殺作用</w:t>
            </w:r>
            <w:r w:rsid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(ADCC)</w:t>
            </w:r>
            <w:r w:rsid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以及誘導細胞凋亡</w:t>
            </w:r>
            <w:r w:rsid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(apoptosis)</w:t>
            </w:r>
            <w:r w:rsidR="00E65A7F" w:rsidRPr="00E65A7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707B8C" w:rsidRPr="00D82BD3" w14:paraId="12F99B7A" w14:textId="77777777" w:rsidTr="00543FB1">
        <w:trPr>
          <w:trHeight w:val="416"/>
          <w:jc w:val="center"/>
        </w:trPr>
        <w:tc>
          <w:tcPr>
            <w:tcW w:w="1988" w:type="dxa"/>
            <w:vAlign w:val="center"/>
          </w:tcPr>
          <w:p w14:paraId="34956829" w14:textId="77777777" w:rsidR="00707B8C" w:rsidRPr="00D82BD3" w:rsidRDefault="00707B8C" w:rsidP="00707B8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color w:val="000000"/>
                <w:szCs w:val="24"/>
              </w:rPr>
              <w:t>訊息緣由</w:t>
            </w:r>
          </w:p>
        </w:tc>
        <w:tc>
          <w:tcPr>
            <w:tcW w:w="7741" w:type="dxa"/>
          </w:tcPr>
          <w:p w14:paraId="732FFC93" w14:textId="3D9F6365" w:rsidR="00707B8C" w:rsidRPr="00D82BD3" w:rsidRDefault="00DB44E6" w:rsidP="008A3195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R</w:t>
            </w:r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ituximab</w:t>
            </w:r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因其抑制</w:t>
            </w:r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B</w:t>
            </w:r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淋巴細胞表面</w:t>
            </w:r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CD20</w:t>
            </w:r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抗原而導致</w:t>
            </w:r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B</w:t>
            </w:r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細胞凋亡之藥理作用，可能增加病人發生</w:t>
            </w:r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COVID-</w:t>
            </w:r>
            <w:proofErr w:type="gramStart"/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19</w:t>
            </w:r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重症</w:t>
            </w:r>
            <w:proofErr w:type="gramEnd"/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風險並延長感染時程；全國藥物不良反應通報中心已接獲數例相關嚴重不良反應通報，</w:t>
            </w:r>
            <w:r w:rsidR="00E65A7F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其中</w:t>
            </w:r>
            <w:r w:rsidR="006D778A" w:rsidRPr="006D778A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包含有死亡案例。</w:t>
            </w:r>
          </w:p>
        </w:tc>
      </w:tr>
      <w:tr w:rsidR="00707B8C" w:rsidRPr="00D82BD3" w14:paraId="7713E7DD" w14:textId="77777777" w:rsidTr="00543FB1">
        <w:trPr>
          <w:trHeight w:val="896"/>
          <w:jc w:val="center"/>
        </w:trPr>
        <w:tc>
          <w:tcPr>
            <w:tcW w:w="1988" w:type="dxa"/>
            <w:vAlign w:val="center"/>
          </w:tcPr>
          <w:p w14:paraId="0CCE4568" w14:textId="77777777" w:rsidR="00707B8C" w:rsidRPr="00D82BD3" w:rsidRDefault="00095F30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szCs w:val="24"/>
              </w:rPr>
              <w:t>藥品安全有關資訊分析及描述</w:t>
            </w:r>
          </w:p>
        </w:tc>
        <w:tc>
          <w:tcPr>
            <w:tcW w:w="7741" w:type="dxa"/>
          </w:tcPr>
          <w:p w14:paraId="075051EE" w14:textId="24E63437" w:rsidR="0050630F" w:rsidRPr="00D82BD3" w:rsidRDefault="0050630F" w:rsidP="0050630F">
            <w:pPr>
              <w:pStyle w:val="aa"/>
              <w:widowControl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全國藥物不良反應通報中心接獲數例疑似</w:t>
            </w:r>
            <w:r w:rsidR="00937ED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使用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rituximab</w:t>
            </w:r>
            <w:r w:rsidR="00937ED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藥品後</w:t>
            </w:r>
            <w:r w:rsidR="00E65A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</w:t>
            </w:r>
            <w:r w:rsidR="00937ED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發生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COIVD-</w:t>
            </w:r>
            <w:proofErr w:type="gramStart"/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19</w:t>
            </w:r>
            <w:r w:rsidR="00546BC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重症</w:t>
            </w:r>
            <w:proofErr w:type="gramEnd"/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之嚴重不良反應通報，</w:t>
            </w:r>
            <w:r w:rsidR="00E65A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其中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包含死亡案例</w:t>
            </w:r>
            <w:r w:rsidR="00937ED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="00DC764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該等</w:t>
            </w:r>
            <w:r w:rsidR="00E65A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通報</w:t>
            </w:r>
            <w:r w:rsidR="00937ED9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案</w:t>
            </w:r>
            <w:r w:rsidR="00DC764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件為用於治療病人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類風濕性關節炎</w:t>
            </w:r>
            <w:r w:rsidR="00DC764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或</w:t>
            </w:r>
            <w:proofErr w:type="gramStart"/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濾泡性淋巴</w:t>
            </w:r>
            <w:proofErr w:type="gramEnd"/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瘤</w:t>
            </w:r>
            <w:r w:rsidR="00DC764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等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，部分</w:t>
            </w:r>
            <w:r w:rsidR="00DC764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案件之個案有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同時併用其他免疫調節藥物</w:t>
            </w:r>
            <w:r w:rsidR="00DC764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如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methotrexate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、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sulfasalazine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或類固醇等製劑。</w:t>
            </w:r>
          </w:p>
          <w:p w14:paraId="1B66D547" w14:textId="74288183" w:rsidR="00937ED9" w:rsidRDefault="00DB44E6" w:rsidP="00912BAF">
            <w:pPr>
              <w:pStyle w:val="aa"/>
              <w:widowControl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Rituximab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經由抑制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B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淋巴細胞表面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CD20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抗原，導致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B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細胞凋亡。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B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細胞快速耗盡易導致繼發性免疫球蛋白過低，無法針對抗原產生足夠抗體，易造成病人感染及其併發症</w:t>
            </w:r>
            <w:r w:rsidR="00DC764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之發生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  <w:p w14:paraId="25BA4C75" w14:textId="7DA0F36E" w:rsidR="00707B8C" w:rsidRPr="00E65A7F" w:rsidRDefault="00937ED9" w:rsidP="00E65A7F">
            <w:pPr>
              <w:pStyle w:val="aa"/>
              <w:widowControl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國外</w:t>
            </w:r>
            <w:r w:rsidR="00DB44E6"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案例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報告</w:t>
            </w:r>
            <w:r w:rsidR="00E65A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及</w:t>
            </w:r>
            <w:r w:rsidR="00DB44E6"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觀察性研究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等文獻</w:t>
            </w:r>
            <w:r w:rsidR="00E65A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皆</w:t>
            </w:r>
            <w:r w:rsidR="006D778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曾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觀察到</w:t>
            </w:r>
            <w:r w:rsidR="00DB44E6"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在血液腫瘤、風濕免疫疾病</w:t>
            </w:r>
            <w:proofErr w:type="gramStart"/>
            <w:r w:rsidR="00E65A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:</w:t>
            </w:r>
            <w:r w:rsidR="00DB44E6"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類風</w:t>
            </w:r>
            <w:proofErr w:type="gramStart"/>
            <w:r w:rsidR="00DB44E6"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溼</w:t>
            </w:r>
            <w:proofErr w:type="gramEnd"/>
            <w:r w:rsidR="00DB44E6"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性關節炎、多發性硬化症</w:t>
            </w:r>
            <w:r w:rsidR="00E65A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）</w:t>
            </w:r>
            <w:r w:rsidR="006D778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病人使用</w:t>
            </w:r>
            <w:r w:rsidR="00DB44E6"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rituximab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時</w:t>
            </w:r>
            <w:r w:rsidR="00E65A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</w:t>
            </w:r>
            <w:r w:rsidR="00DB44E6" w:rsidRPr="0037070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可能增加</w:t>
            </w:r>
            <w:r w:rsidR="00DB44E6" w:rsidRPr="0037070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COVID-</w:t>
            </w:r>
            <w:proofErr w:type="gramStart"/>
            <w:r w:rsidR="00DB44E6" w:rsidRPr="0037070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19</w:t>
            </w:r>
            <w:r w:rsidR="0037070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重</w:t>
            </w:r>
            <w:proofErr w:type="gramEnd"/>
            <w:r w:rsidR="0037070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症</w:t>
            </w:r>
            <w:r w:rsidR="00DB44E6" w:rsidRPr="0037070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風險並延長感染時程。</w:t>
            </w:r>
          </w:p>
        </w:tc>
      </w:tr>
      <w:tr w:rsidR="00E65A7F" w:rsidRPr="00D82BD3" w14:paraId="650A31A7" w14:textId="77777777" w:rsidTr="00543FB1">
        <w:trPr>
          <w:trHeight w:val="896"/>
          <w:jc w:val="center"/>
        </w:trPr>
        <w:tc>
          <w:tcPr>
            <w:tcW w:w="1988" w:type="dxa"/>
            <w:vAlign w:val="center"/>
          </w:tcPr>
          <w:p w14:paraId="514D1E52" w14:textId="77777777" w:rsidR="00E65A7F" w:rsidRDefault="00E65A7F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食品藥物管理署</w:t>
            </w:r>
          </w:p>
          <w:p w14:paraId="7CBF544A" w14:textId="32D6FA28" w:rsidR="00E65A7F" w:rsidRPr="00D82BD3" w:rsidRDefault="00E65A7F" w:rsidP="00707B8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風險溝通說明</w:t>
            </w:r>
          </w:p>
        </w:tc>
        <w:tc>
          <w:tcPr>
            <w:tcW w:w="7741" w:type="dxa"/>
          </w:tcPr>
          <w:p w14:paraId="3812C1D3" w14:textId="2E6DF1C8" w:rsidR="00E65A7F" w:rsidRDefault="00E65A7F" w:rsidP="00E65A7F">
            <w:pPr>
              <w:widowControl/>
              <w:numPr>
                <w:ilvl w:val="0"/>
                <w:numId w:val="2"/>
              </w:numPr>
              <w:spacing w:line="4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u w:val="single"/>
              </w:rPr>
            </w:pPr>
            <w:r w:rsidRPr="00E65A7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u w:val="single"/>
              </w:rPr>
              <w:t>食品藥物管理署說明：</w:t>
            </w:r>
          </w:p>
          <w:p w14:paraId="4AE14A4A" w14:textId="0EC03CDE" w:rsidR="00DC7640" w:rsidRDefault="00DC7640" w:rsidP="00DC7640">
            <w:pPr>
              <w:pStyle w:val="aa"/>
              <w:widowControl/>
              <w:numPr>
                <w:ilvl w:val="0"/>
                <w:numId w:val="16"/>
              </w:numPr>
              <w:spacing w:line="400" w:lineRule="exact"/>
              <w:ind w:leftChars="0" w:left="452" w:hanging="452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764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經查，我國核准含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r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ituximab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成分藥品許可證共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張，其中生物相似性藥品共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張</w:t>
            </w:r>
            <w:r w:rsidR="005C1357" w:rsidRPr="005C1357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，核准之適應症主要用於癌症及風濕免疫相關疾病治療，其中文仿單於「警語與注意事項</w:t>
            </w:r>
            <w:r w:rsidR="005C1357" w:rsidRPr="005C1357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-</w:t>
            </w:r>
            <w:r w:rsidR="005C1357" w:rsidRPr="005C1357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感染」及「不良反應」段落刊載病毒感染相關敘述，惟並未特別提及</w:t>
            </w:r>
            <w:r w:rsidR="005C1357" w:rsidRPr="005C1357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SARS-CoV-2</w:t>
            </w:r>
            <w:r w:rsidR="005C1357" w:rsidRPr="005C1357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感染相關安全性資訊</w:t>
            </w:r>
            <w:r w:rsidR="005C1357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14:paraId="1F0C6F61" w14:textId="43D7F370" w:rsidR="00255428" w:rsidRDefault="00255428" w:rsidP="00DC7640">
            <w:pPr>
              <w:pStyle w:val="aa"/>
              <w:widowControl/>
              <w:numPr>
                <w:ilvl w:val="0"/>
                <w:numId w:val="16"/>
              </w:numPr>
              <w:spacing w:line="400" w:lineRule="exact"/>
              <w:ind w:leftChars="0" w:left="452" w:hanging="452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考量</w:t>
            </w:r>
            <w:r w:rsidR="00AE78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r</w:t>
            </w:r>
            <w:r w:rsidR="00AE78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ituximab</w:t>
            </w:r>
            <w:r w:rsidR="00AE781A" w:rsidRPr="00AE78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可能增加</w:t>
            </w:r>
            <w:r w:rsidR="00AE781A" w:rsidRPr="00AE78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COVID-19</w:t>
            </w:r>
            <w:r w:rsidR="00AE781A" w:rsidRPr="00AE78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重症風險並延長感染時程</w:t>
            </w:r>
            <w:r w:rsidR="00AE78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一事</w:t>
            </w:r>
            <w:r w:rsidR="0082112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，可能非為臨床醫療人員所熟知之風險，且該不良反應可能造成嚴重或死亡之後果，為保障民眾用藥安全，本署特發布此風險溝通表以提醒醫療人員注意相關風險</w:t>
            </w:r>
            <w:r w:rsidR="00764A4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，並</w:t>
            </w:r>
            <w:bookmarkStart w:id="0" w:name="_GoBack"/>
            <w:bookmarkEnd w:id="0"/>
            <w:r w:rsidR="00764A4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持續追蹤相關安全性訊號</w:t>
            </w:r>
            <w:r w:rsidR="00376FB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  <w:p w14:paraId="524EB710" w14:textId="77777777" w:rsidR="00376FB1" w:rsidRPr="00DC7640" w:rsidRDefault="00376FB1" w:rsidP="00376FB1">
            <w:pPr>
              <w:pStyle w:val="aa"/>
              <w:widowControl/>
              <w:spacing w:line="400" w:lineRule="exact"/>
              <w:ind w:leftChars="0" w:left="452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420F0FB3" w14:textId="77777777" w:rsidR="00E65A7F" w:rsidRPr="00D82BD3" w:rsidRDefault="00E65A7F" w:rsidP="00E65A7F">
            <w:pPr>
              <w:widowControl/>
              <w:numPr>
                <w:ilvl w:val="0"/>
                <w:numId w:val="2"/>
              </w:numPr>
              <w:spacing w:line="400" w:lineRule="exact"/>
              <w:ind w:left="482" w:hanging="482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u w:val="single"/>
              </w:rPr>
              <w:lastRenderedPageBreak/>
              <w:t>醫療人員</w:t>
            </w:r>
            <w:r w:rsidRPr="00D82BD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應注意事項：</w:t>
            </w:r>
          </w:p>
          <w:p w14:paraId="56DA2C01" w14:textId="227AB0D6" w:rsidR="00E65A7F" w:rsidRPr="00D82BD3" w:rsidRDefault="00E65A7F" w:rsidP="00E65A7F">
            <w:pPr>
              <w:pStyle w:val="aa"/>
              <w:widowControl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Rituximab</w:t>
            </w:r>
            <w:r w:rsidR="00376FB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之藥理作用為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抑制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B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淋巴細胞表面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CD20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抗原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而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導致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B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細胞凋亡，</w:t>
            </w:r>
            <w:r w:rsidR="00376FB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該機轉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可能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增加</w:t>
            </w:r>
            <w:r w:rsidRPr="00D82BD3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病人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發生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COVID-</w:t>
            </w:r>
            <w:proofErr w:type="gramStart"/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19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重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症</w:t>
            </w:r>
            <w:proofErr w:type="gramEnd"/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風險並延長感染時程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；</w:t>
            </w:r>
            <w:r w:rsidRPr="00D82BD3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全國藥物不良反應通報中心已接獲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數例</w:t>
            </w:r>
            <w:r w:rsidRPr="00D82BD3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相關嚴重不良反應通報，</w:t>
            </w:r>
            <w:r w:rsidR="00376FB1"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其中</w:t>
            </w:r>
            <w:r w:rsidRPr="00D82BD3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包含</w:t>
            </w:r>
            <w:r>
              <w:rPr>
                <w:rFonts w:ascii="Times New Roman" w:eastAsia="標楷體" w:hAnsi="Times New Roman" w:cs="Times New Roman" w:hint="eastAsia"/>
                <w:color w:val="222222"/>
                <w:kern w:val="0"/>
                <w:szCs w:val="24"/>
              </w:rPr>
              <w:t>有</w:t>
            </w:r>
            <w:r w:rsidRPr="00D82BD3">
              <w:rPr>
                <w:rFonts w:ascii="Times New Roman" w:eastAsia="標楷體" w:hAnsi="Times New Roman" w:cs="Times New Roman"/>
                <w:color w:val="222222"/>
                <w:kern w:val="0"/>
                <w:szCs w:val="24"/>
              </w:rPr>
              <w:t>死亡案例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  <w:p w14:paraId="0AD70460" w14:textId="433E4736" w:rsidR="00E65A7F" w:rsidRDefault="00E65A7F" w:rsidP="00E65A7F">
            <w:pPr>
              <w:pStyle w:val="aa"/>
              <w:widowControl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醫療人員於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處方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rituximab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時，請評估病人之感染風險並謹慎</w:t>
            </w:r>
            <w:r w:rsidR="00376FB1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用藥</w:t>
            </w:r>
            <w:r w:rsidR="00F364E7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，並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提醒病人使用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rituximab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可能增加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COVID-</w:t>
            </w:r>
            <w:proofErr w:type="gramStart"/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19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重症</w:t>
            </w:r>
            <w:proofErr w:type="gramEnd"/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風險，如有感染相關之症狀或徵候，務必立即就醫。</w:t>
            </w:r>
          </w:p>
          <w:p w14:paraId="75CF7A77" w14:textId="378C712F" w:rsidR="00E65A7F" w:rsidRDefault="00E65A7F" w:rsidP="00E65A7F">
            <w:pPr>
              <w:pStyle w:val="aa"/>
              <w:widowControl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鼓勵病人接種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COVID-19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疫苗，並依臨床狀況評估合適之接種時程、疫苗、</w:t>
            </w:r>
            <w:proofErr w:type="gramStart"/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劑次</w:t>
            </w:r>
            <w:proofErr w:type="gramEnd"/>
            <w:r w:rsidR="008C7013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，以及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rituximab</w:t>
            </w:r>
            <w:r w:rsidRPr="00D82BD3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之使用時機與劑量。</w:t>
            </w:r>
          </w:p>
          <w:p w14:paraId="770C0BCA" w14:textId="77777777" w:rsidR="008C7013" w:rsidRPr="00D82BD3" w:rsidRDefault="008C7013" w:rsidP="008C7013">
            <w:pPr>
              <w:pStyle w:val="aa"/>
              <w:widowControl/>
              <w:ind w:leftChars="0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339A0BC9" w14:textId="77777777" w:rsidR="00E65A7F" w:rsidRPr="00D82BD3" w:rsidRDefault="00E65A7F" w:rsidP="00E65A7F">
            <w:pPr>
              <w:widowControl/>
              <w:numPr>
                <w:ilvl w:val="0"/>
                <w:numId w:val="2"/>
              </w:numPr>
              <w:spacing w:line="400" w:lineRule="exact"/>
              <w:ind w:left="482" w:hanging="48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u w:val="single"/>
              </w:rPr>
              <w:t>病人</w:t>
            </w:r>
            <w:r w:rsidRPr="00D82BD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應注意事項</w:t>
            </w:r>
            <w:r w:rsidRPr="00D82BD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14:paraId="37C2EEDE" w14:textId="77777777" w:rsidR="00E65A7F" w:rsidRPr="00D82BD3" w:rsidRDefault="00E65A7F" w:rsidP="00E65A7F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使用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rituximab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藥品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可能增加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C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OVID-</w:t>
            </w:r>
            <w:proofErr w:type="gramStart"/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重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症</w:t>
            </w:r>
            <w:proofErr w:type="gramEnd"/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風險並延長感染時程。</w:t>
            </w:r>
          </w:p>
          <w:p w14:paraId="4C52941D" w14:textId="242D3394" w:rsidR="00E65A7F" w:rsidRPr="00D82BD3" w:rsidRDefault="00E65A7F" w:rsidP="00E65A7F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在您使用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rituximab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藥品期間或使用後，若有發生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疑似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感染症相關症狀，如發燒、流鼻水、咽喉炎、咳嗽、疲倦、全身痠痛、頭痛等症狀，請立即就醫或告知醫療人員。</w:t>
            </w:r>
          </w:p>
          <w:p w14:paraId="1708F1BB" w14:textId="7778FBC2" w:rsidR="00E65A7F" w:rsidRDefault="00E65A7F" w:rsidP="00E65A7F">
            <w:pPr>
              <w:pStyle w:val="aa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尚未接種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COVID-19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疫苗或尚未完成接種系列之病人，請與您的醫師討論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適合您的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接種時程、疫苗</w:t>
            </w:r>
            <w:r w:rsidR="008C701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劑次</w:t>
            </w:r>
            <w:proofErr w:type="gramEnd"/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，以及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rituximab</w:t>
            </w:r>
            <w:r w:rsidRPr="00D82BD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合適的使用時機與劑量。</w:t>
            </w:r>
          </w:p>
          <w:p w14:paraId="775F4246" w14:textId="77777777" w:rsidR="008C7013" w:rsidRPr="00D82BD3" w:rsidRDefault="008C7013" w:rsidP="008C7013">
            <w:pPr>
              <w:pStyle w:val="aa"/>
              <w:widowControl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5311983D" w14:textId="4D2E5A91" w:rsidR="00E65A7F" w:rsidRPr="00E65A7F" w:rsidRDefault="00E65A7F" w:rsidP="00E65A7F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82BD3">
              <w:rPr>
                <w:rFonts w:ascii="Times New Roman" w:eastAsia="標楷體" w:hAnsi="Times New Roman" w:cs="Times New Roman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D82BD3">
              <w:rPr>
                <w:rFonts w:ascii="Times New Roman" w:eastAsia="標楷體" w:hAnsi="Times New Roman" w:cs="Times New Roman"/>
                <w:szCs w:val="24"/>
              </w:rPr>
              <w:t>福利部所建置</w:t>
            </w:r>
            <w:proofErr w:type="gramEnd"/>
            <w:r w:rsidRPr="00D82BD3">
              <w:rPr>
                <w:rFonts w:ascii="Times New Roman" w:eastAsia="標楷體" w:hAnsi="Times New Roman" w:cs="Times New Roman"/>
                <w:szCs w:val="24"/>
              </w:rPr>
              <w:t>之全國藥物不良反應通報中心，並副知所屬廠商，藥物不良反應通報專線</w:t>
            </w:r>
            <w:r w:rsidRPr="00D82BD3">
              <w:rPr>
                <w:rFonts w:ascii="Times New Roman" w:eastAsia="標楷體" w:hAnsi="Times New Roman" w:cs="Times New Roman"/>
                <w:szCs w:val="24"/>
              </w:rPr>
              <w:t>02-2396-0100</w:t>
            </w:r>
            <w:r w:rsidRPr="00D82BD3">
              <w:rPr>
                <w:rFonts w:ascii="Times New Roman" w:eastAsia="標楷體" w:hAnsi="Times New Roman" w:cs="Times New Roman"/>
                <w:szCs w:val="24"/>
              </w:rPr>
              <w:t>，網站：</w:t>
            </w:r>
            <w:r>
              <w:fldChar w:fldCharType="begin"/>
            </w:r>
            <w:r>
              <w:instrText xml:space="preserve"> HYPERLINK "https://adr.fda.gov.tw" </w:instrText>
            </w:r>
            <w:r>
              <w:fldChar w:fldCharType="separate"/>
            </w:r>
            <w:r w:rsidRPr="00D82BD3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https://adr.fda.gov.tw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fldChar w:fldCharType="end"/>
            </w:r>
            <w:r w:rsidRPr="00D82BD3">
              <w:rPr>
                <w:rFonts w:ascii="Times New Roman" w:eastAsia="標楷體" w:hAnsi="Times New Roman" w:cs="Times New Roman"/>
                <w:szCs w:val="24"/>
              </w:rPr>
              <w:t>；衛生福利部食品藥物管理署獲知藥品安全訊息時，</w:t>
            </w:r>
            <w:proofErr w:type="gramStart"/>
            <w:r w:rsidRPr="00D82BD3">
              <w:rPr>
                <w:rFonts w:ascii="Times New Roman" w:eastAsia="標楷體" w:hAnsi="Times New Roman" w:cs="Times New Roman"/>
                <w:szCs w:val="24"/>
              </w:rPr>
              <w:t>均會蒐集</w:t>
            </w:r>
            <w:proofErr w:type="gramEnd"/>
            <w:r w:rsidRPr="00D82BD3">
              <w:rPr>
                <w:rFonts w:ascii="Times New Roman" w:eastAsia="標楷體" w:hAnsi="Times New Roman" w:cs="Times New Roman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74F2F6CD" w14:textId="77777777" w:rsidR="00D82BD3" w:rsidRPr="00D82BD3" w:rsidRDefault="00D82BD3" w:rsidP="00AA4EAD">
      <w:pPr>
        <w:rPr>
          <w:rFonts w:ascii="Times New Roman" w:eastAsia="標楷體" w:hAnsi="Times New Roman" w:cs="Times New Roman"/>
        </w:rPr>
        <w:sectPr w:rsidR="00D82BD3" w:rsidRPr="00D82BD3" w:rsidSect="00147E19">
          <w:pgSz w:w="11906" w:h="16838"/>
          <w:pgMar w:top="1440" w:right="1080" w:bottom="1276" w:left="1080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466"/>
        <w:gridCol w:w="1089"/>
        <w:gridCol w:w="1657"/>
        <w:gridCol w:w="1445"/>
        <w:gridCol w:w="7495"/>
      </w:tblGrid>
      <w:tr w:rsidR="00E04447" w:rsidRPr="007F5153" w14:paraId="20185CBF" w14:textId="77777777" w:rsidTr="00E04447">
        <w:trPr>
          <w:trHeight w:val="585"/>
          <w:jc w:val="center"/>
        </w:trPr>
        <w:tc>
          <w:tcPr>
            <w:tcW w:w="14112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14:paraId="08C24687" w14:textId="532D0166" w:rsidR="00E04447" w:rsidRPr="00E04447" w:rsidRDefault="00E04447" w:rsidP="00BF0D5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  <w:r w:rsidRPr="00E0444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lastRenderedPageBreak/>
              <w:t>附件一、國內核准含</w:t>
            </w:r>
            <w:proofErr w:type="spellStart"/>
            <w:r w:rsidRPr="00E0444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rituxiamb</w:t>
            </w:r>
            <w:proofErr w:type="spellEnd"/>
            <w:r w:rsidRPr="00E0444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成分藥品許可證</w:t>
            </w:r>
          </w:p>
        </w:tc>
      </w:tr>
      <w:tr w:rsidR="007F5153" w:rsidRPr="007F5153" w14:paraId="3231077A" w14:textId="77777777" w:rsidTr="00E04447">
        <w:trPr>
          <w:trHeight w:val="585"/>
          <w:jc w:val="center"/>
        </w:trPr>
        <w:tc>
          <w:tcPr>
            <w:tcW w:w="960" w:type="dxa"/>
            <w:noWrap/>
            <w:vAlign w:val="center"/>
            <w:hideMark/>
          </w:tcPr>
          <w:p w14:paraId="739A4327" w14:textId="05AD1504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6" w:type="dxa"/>
            <w:vAlign w:val="center"/>
            <w:hideMark/>
          </w:tcPr>
          <w:p w14:paraId="000F3572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許可證字號</w:t>
            </w:r>
          </w:p>
        </w:tc>
        <w:tc>
          <w:tcPr>
            <w:tcW w:w="1089" w:type="dxa"/>
            <w:vAlign w:val="center"/>
            <w:hideMark/>
          </w:tcPr>
          <w:p w14:paraId="6281F6B5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中文品名</w:t>
            </w:r>
          </w:p>
        </w:tc>
        <w:tc>
          <w:tcPr>
            <w:tcW w:w="1657" w:type="dxa"/>
            <w:vAlign w:val="center"/>
            <w:hideMark/>
          </w:tcPr>
          <w:p w14:paraId="2EE2629C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英文品名</w:t>
            </w:r>
          </w:p>
        </w:tc>
        <w:tc>
          <w:tcPr>
            <w:tcW w:w="1445" w:type="dxa"/>
            <w:vAlign w:val="center"/>
            <w:hideMark/>
          </w:tcPr>
          <w:p w14:paraId="3DEDCE84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申請商名稱</w:t>
            </w:r>
          </w:p>
        </w:tc>
        <w:tc>
          <w:tcPr>
            <w:tcW w:w="7495" w:type="dxa"/>
            <w:vAlign w:val="center"/>
            <w:hideMark/>
          </w:tcPr>
          <w:p w14:paraId="6718819B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適應症</w:t>
            </w:r>
          </w:p>
        </w:tc>
      </w:tr>
      <w:tr w:rsidR="007F5153" w:rsidRPr="007F5153" w14:paraId="09E46481" w14:textId="77777777" w:rsidTr="00E04447">
        <w:trPr>
          <w:trHeight w:val="5333"/>
          <w:jc w:val="center"/>
        </w:trPr>
        <w:tc>
          <w:tcPr>
            <w:tcW w:w="960" w:type="dxa"/>
            <w:noWrap/>
            <w:vAlign w:val="center"/>
            <w:hideMark/>
          </w:tcPr>
          <w:p w14:paraId="1DF8A9F1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466" w:type="dxa"/>
            <w:vAlign w:val="center"/>
            <w:hideMark/>
          </w:tcPr>
          <w:p w14:paraId="679C3520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衛署菌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疫輸字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第</w:t>
            </w:r>
            <w:r w:rsidRPr="007F5153">
              <w:rPr>
                <w:rFonts w:ascii="Times New Roman" w:eastAsia="標楷體" w:hAnsi="Times New Roman"/>
              </w:rPr>
              <w:t>000928</w:t>
            </w:r>
            <w:r w:rsidRPr="007F5153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1089" w:type="dxa"/>
            <w:vAlign w:val="center"/>
            <w:hideMark/>
          </w:tcPr>
          <w:p w14:paraId="6EAEFDC4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7F5153">
              <w:rPr>
                <w:rFonts w:ascii="Times New Roman" w:eastAsia="標楷體" w:hAnsi="Times New Roman" w:hint="eastAsia"/>
              </w:rPr>
              <w:t>莫須瘤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注射劑</w:t>
            </w:r>
          </w:p>
        </w:tc>
        <w:tc>
          <w:tcPr>
            <w:tcW w:w="1657" w:type="dxa"/>
            <w:vAlign w:val="center"/>
            <w:hideMark/>
          </w:tcPr>
          <w:p w14:paraId="4A4A2CAF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7F5153">
              <w:rPr>
                <w:rFonts w:ascii="Times New Roman" w:eastAsia="標楷體" w:hAnsi="Times New Roman"/>
              </w:rPr>
              <w:t>Mabthera</w:t>
            </w:r>
            <w:proofErr w:type="spellEnd"/>
            <w:r w:rsidRPr="007F5153">
              <w:rPr>
                <w:rFonts w:ascii="Times New Roman" w:eastAsia="標楷體" w:hAnsi="Times New Roman"/>
              </w:rPr>
              <w:t xml:space="preserve"> solution for IV Infusion</w:t>
            </w:r>
          </w:p>
        </w:tc>
        <w:tc>
          <w:tcPr>
            <w:tcW w:w="1445" w:type="dxa"/>
            <w:vAlign w:val="center"/>
            <w:hideMark/>
          </w:tcPr>
          <w:p w14:paraId="1AA0FF62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羅氏大藥廠股份有限公司</w:t>
            </w:r>
          </w:p>
        </w:tc>
        <w:tc>
          <w:tcPr>
            <w:tcW w:w="7495" w:type="dxa"/>
            <w:vAlign w:val="center"/>
            <w:hideMark/>
          </w:tcPr>
          <w:p w14:paraId="2D7202DB" w14:textId="77777777" w:rsidR="007F5153" w:rsidRPr="007F5153" w:rsidRDefault="007F5153" w:rsidP="00BF0D5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/>
              </w:rPr>
              <w:t xml:space="preserve">1. </w:t>
            </w:r>
            <w:r w:rsidRPr="007F5153">
              <w:rPr>
                <w:rFonts w:ascii="Times New Roman" w:eastAsia="標楷體" w:hAnsi="Times New Roman" w:hint="eastAsia"/>
              </w:rPr>
              <w:t>非何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杰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金氏淋巴瘤：用於復發或對化學療法有抗性之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低惡度</w:t>
            </w:r>
            <w:proofErr w:type="gramEnd"/>
            <w:r w:rsidRPr="007F5153">
              <w:rPr>
                <w:rFonts w:ascii="Times New Roman" w:eastAsia="標楷體" w:hAnsi="Times New Roman"/>
              </w:rPr>
              <w:t>B-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細胞非何杰金氏淋巴瘤的成人病人。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CVP</w:t>
            </w:r>
            <w:r w:rsidRPr="007F5153">
              <w:rPr>
                <w:rFonts w:ascii="Times New Roman" w:eastAsia="標楷體" w:hAnsi="Times New Roman" w:hint="eastAsia"/>
              </w:rPr>
              <w:t>化學療法用於未經治療之和緩性</w:t>
            </w:r>
            <w:r w:rsidRPr="007F5153">
              <w:rPr>
                <w:rFonts w:ascii="Times New Roman" w:eastAsia="標楷體" w:hAnsi="Times New Roman"/>
              </w:rPr>
              <w:t>(</w:t>
            </w:r>
            <w:r w:rsidRPr="007F5153">
              <w:rPr>
                <w:rFonts w:ascii="Times New Roman" w:eastAsia="標楷體" w:hAnsi="Times New Roman" w:hint="eastAsia"/>
              </w:rPr>
              <w:t>組織型態為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濾泡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型</w:t>
            </w:r>
            <w:r w:rsidRPr="007F5153">
              <w:rPr>
                <w:rFonts w:ascii="Times New Roman" w:eastAsia="標楷體" w:hAnsi="Times New Roman"/>
              </w:rPr>
              <w:t>)B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細胞非何杰金氏淋巴瘤的成人病人。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CHOP</w:t>
            </w:r>
            <w:r w:rsidRPr="007F5153">
              <w:rPr>
                <w:rFonts w:ascii="Times New Roman" w:eastAsia="標楷體" w:hAnsi="Times New Roman" w:hint="eastAsia"/>
              </w:rPr>
              <w:t>或其他化學療法用於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抗原陽性之瀰漫性大型</w:t>
            </w:r>
            <w:r w:rsidRPr="007F5153">
              <w:rPr>
                <w:rFonts w:ascii="Times New Roman" w:eastAsia="標楷體" w:hAnsi="Times New Roman"/>
              </w:rPr>
              <w:t>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細胞非何杰金氏淋巴瘤的成人病人。用於做為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濾泡性淋巴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瘤成人病人對誘導療法產生反應之後的維持治療用藥。與化學療法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用，用於先前未經治療之晚期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抗原陽性之瀰漫性大型</w:t>
            </w:r>
            <w:r w:rsidRPr="007F5153">
              <w:rPr>
                <w:rFonts w:ascii="Times New Roman" w:eastAsia="標楷體" w:hAnsi="Times New Roman"/>
              </w:rPr>
              <w:t>B</w:t>
            </w:r>
            <w:r w:rsidRPr="007F5153">
              <w:rPr>
                <w:rFonts w:ascii="Times New Roman" w:eastAsia="標楷體" w:hAnsi="Times New Roman" w:hint="eastAsia"/>
              </w:rPr>
              <w:t>細胞淋巴瘤</w:t>
            </w:r>
            <w:r w:rsidRPr="007F5153">
              <w:rPr>
                <w:rFonts w:ascii="Times New Roman" w:eastAsia="標楷體" w:hAnsi="Times New Roman"/>
              </w:rPr>
              <w:t>(DLBCL)</w:t>
            </w:r>
            <w:r w:rsidRPr="007F5153">
              <w:rPr>
                <w:rFonts w:ascii="Times New Roman" w:eastAsia="標楷體" w:hAnsi="Times New Roman" w:hint="eastAsia"/>
              </w:rPr>
              <w:t>、</w:t>
            </w:r>
            <w:r w:rsidRPr="007F5153">
              <w:rPr>
                <w:rFonts w:ascii="Times New Roman" w:eastAsia="標楷體" w:hAnsi="Times New Roman"/>
              </w:rPr>
              <w:t>Burkitt</w:t>
            </w:r>
            <w:r w:rsidRPr="007F5153">
              <w:rPr>
                <w:rFonts w:ascii="Times New Roman" w:eastAsia="標楷體" w:hAnsi="Times New Roman" w:hint="eastAsia"/>
              </w:rPr>
              <w:t>氏淋巴瘤</w:t>
            </w:r>
            <w:r w:rsidRPr="007F5153">
              <w:rPr>
                <w:rFonts w:ascii="Times New Roman" w:eastAsia="標楷體" w:hAnsi="Times New Roman"/>
              </w:rPr>
              <w:t>(BL) / Burkitt</w:t>
            </w:r>
            <w:r w:rsidRPr="007F5153">
              <w:rPr>
                <w:rFonts w:ascii="Times New Roman" w:eastAsia="標楷體" w:hAnsi="Times New Roman" w:hint="eastAsia"/>
              </w:rPr>
              <w:t>氏白血病</w:t>
            </w:r>
            <w:r w:rsidRPr="007F5153">
              <w:rPr>
                <w:rFonts w:ascii="Times New Roman" w:eastAsia="標楷體" w:hAnsi="Times New Roman"/>
              </w:rPr>
              <w:t>(</w:t>
            </w:r>
            <w:r w:rsidRPr="007F5153">
              <w:rPr>
                <w:rFonts w:ascii="Times New Roman" w:eastAsia="標楷體" w:hAnsi="Times New Roman" w:hint="eastAsia"/>
              </w:rPr>
              <w:t>成熟</w:t>
            </w:r>
            <w:r w:rsidRPr="007F5153">
              <w:rPr>
                <w:rFonts w:ascii="Times New Roman" w:eastAsia="標楷體" w:hAnsi="Times New Roman"/>
              </w:rPr>
              <w:t>B</w:t>
            </w:r>
            <w:r w:rsidRPr="007F5153">
              <w:rPr>
                <w:rFonts w:ascii="Times New Roman" w:eastAsia="標楷體" w:hAnsi="Times New Roman" w:hint="eastAsia"/>
              </w:rPr>
              <w:t>細胞急性白血病</w:t>
            </w:r>
            <w:r w:rsidRPr="007F5153">
              <w:rPr>
                <w:rFonts w:ascii="Times New Roman" w:eastAsia="標楷體" w:hAnsi="Times New Roman"/>
              </w:rPr>
              <w:t>)(BAL)</w:t>
            </w:r>
            <w:r w:rsidRPr="007F5153">
              <w:rPr>
                <w:rFonts w:ascii="Times New Roman" w:eastAsia="標楷體" w:hAnsi="Times New Roman" w:hint="eastAsia"/>
              </w:rPr>
              <w:t>或類</w:t>
            </w:r>
            <w:r w:rsidRPr="007F5153">
              <w:rPr>
                <w:rFonts w:ascii="Times New Roman" w:eastAsia="標楷體" w:hAnsi="Times New Roman"/>
              </w:rPr>
              <w:t>Burkitt</w:t>
            </w:r>
            <w:r w:rsidRPr="007F5153">
              <w:rPr>
                <w:rFonts w:ascii="Times New Roman" w:eastAsia="標楷體" w:hAnsi="Times New Roman" w:hint="eastAsia"/>
              </w:rPr>
              <w:t>氏淋巴瘤</w:t>
            </w:r>
            <w:r w:rsidRPr="007F5153">
              <w:rPr>
                <w:rFonts w:ascii="Times New Roman" w:eastAsia="標楷體" w:hAnsi="Times New Roman"/>
              </w:rPr>
              <w:t>(BLL)</w:t>
            </w:r>
            <w:r w:rsidRPr="007F5153">
              <w:rPr>
                <w:rFonts w:ascii="Times New Roman" w:eastAsia="標楷體" w:hAnsi="Times New Roman" w:hint="eastAsia"/>
              </w:rPr>
              <w:t>的</w:t>
            </w:r>
            <w:r w:rsidRPr="007F5153">
              <w:rPr>
                <w:rFonts w:ascii="Times New Roman" w:eastAsia="標楷體" w:hAnsi="Times New Roman"/>
              </w:rPr>
              <w:t>6</w:t>
            </w:r>
            <w:r w:rsidRPr="007F5153">
              <w:rPr>
                <w:rFonts w:ascii="Times New Roman" w:eastAsia="標楷體" w:hAnsi="Times New Roman" w:hint="eastAsia"/>
              </w:rPr>
              <w:t>個月以上至未滿</w:t>
            </w:r>
            <w:r w:rsidRPr="007F5153">
              <w:rPr>
                <w:rFonts w:ascii="Times New Roman" w:eastAsia="標楷體" w:hAnsi="Times New Roman"/>
              </w:rPr>
              <w:t>18</w:t>
            </w:r>
            <w:r w:rsidRPr="007F5153">
              <w:rPr>
                <w:rFonts w:ascii="Times New Roman" w:eastAsia="標楷體" w:hAnsi="Times New Roman" w:hint="eastAsia"/>
              </w:rPr>
              <w:t>歲兒童病人。</w:t>
            </w:r>
            <w:r w:rsidRPr="007F5153">
              <w:rPr>
                <w:rFonts w:ascii="Times New Roman" w:eastAsia="標楷體" w:hAnsi="Times New Roman" w:hint="eastAsia"/>
              </w:rPr>
              <w:br/>
            </w:r>
            <w:r w:rsidRPr="007F5153">
              <w:rPr>
                <w:rFonts w:ascii="Times New Roman" w:eastAsia="標楷體" w:hAnsi="Times New Roman"/>
              </w:rPr>
              <w:t xml:space="preserve">2. </w:t>
            </w:r>
            <w:r w:rsidRPr="007F5153">
              <w:rPr>
                <w:rFonts w:ascii="Times New Roman" w:eastAsia="標楷體" w:hAnsi="Times New Roman" w:hint="eastAsia"/>
              </w:rPr>
              <w:t>類風濕性關節炎：與</w:t>
            </w:r>
            <w:r w:rsidRPr="007F5153">
              <w:rPr>
                <w:rFonts w:ascii="Times New Roman" w:eastAsia="標楷體" w:hAnsi="Times New Roman"/>
              </w:rPr>
              <w:t>methotrexate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用，適用於治療曾接受一種</w:t>
            </w:r>
            <w:r w:rsidRPr="007F5153">
              <w:rPr>
                <w:rFonts w:ascii="Times New Roman" w:eastAsia="標楷體" w:hAnsi="Times New Roman"/>
              </w:rPr>
              <w:t>(</w:t>
            </w:r>
            <w:r w:rsidRPr="007F5153">
              <w:rPr>
                <w:rFonts w:ascii="Times New Roman" w:eastAsia="標楷體" w:hAnsi="Times New Roman" w:hint="eastAsia"/>
              </w:rPr>
              <w:t>含</w:t>
            </w:r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以上之腫瘤壞死因子</w:t>
            </w:r>
            <w:r w:rsidRPr="007F5153">
              <w:rPr>
                <w:rFonts w:ascii="Times New Roman" w:eastAsia="標楷體" w:hAnsi="Times New Roman"/>
              </w:rPr>
              <w:t>(TNF)</w:t>
            </w:r>
            <w:r w:rsidRPr="007F5153">
              <w:rPr>
                <w:rFonts w:ascii="Times New Roman" w:eastAsia="標楷體" w:hAnsi="Times New Roman" w:hint="eastAsia"/>
              </w:rPr>
              <w:t>抑制療法治療但效果不彰，或無法耐受的活動性類風濕性關節炎成人病人。與</w:t>
            </w:r>
            <w:r w:rsidRPr="007F5153">
              <w:rPr>
                <w:rFonts w:ascii="Times New Roman" w:eastAsia="標楷體" w:hAnsi="Times New Roman"/>
              </w:rPr>
              <w:t>methotrexate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用，經</w:t>
            </w:r>
            <w:r w:rsidRPr="007F5153">
              <w:rPr>
                <w:rFonts w:ascii="Times New Roman" w:eastAsia="標楷體" w:hAnsi="Times New Roman"/>
              </w:rPr>
              <w:t>X</w:t>
            </w:r>
            <w:r w:rsidRPr="007F5153">
              <w:rPr>
                <w:rFonts w:ascii="Times New Roman" w:eastAsia="標楷體" w:hAnsi="Times New Roman" w:hint="eastAsia"/>
              </w:rPr>
              <w:t>光檢查已證實可減緩關節結構受損的進展。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/>
              <w:t xml:space="preserve">3. </w:t>
            </w:r>
            <w:r w:rsidRPr="007F5153">
              <w:rPr>
                <w:rFonts w:ascii="Times New Roman" w:eastAsia="標楷體" w:hAnsi="Times New Roman" w:hint="eastAsia"/>
              </w:rPr>
              <w:t>慢性淋巴球性白血病：適用於與</w:t>
            </w:r>
            <w:r w:rsidRPr="007F5153">
              <w:rPr>
                <w:rFonts w:ascii="Times New Roman" w:eastAsia="標楷體" w:hAnsi="Times New Roman"/>
              </w:rPr>
              <w:t>fludarabine</w:t>
            </w:r>
            <w:r w:rsidRPr="007F5153">
              <w:rPr>
                <w:rFonts w:ascii="Times New Roman" w:eastAsia="標楷體" w:hAnsi="Times New Roman" w:hint="eastAsia"/>
              </w:rPr>
              <w:t>及</w:t>
            </w:r>
            <w:r w:rsidRPr="007F5153">
              <w:rPr>
                <w:rFonts w:ascii="Times New Roman" w:eastAsia="標楷體" w:hAnsi="Times New Roman"/>
              </w:rPr>
              <w:t>cyclophosphamide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用，做為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陽性慢性淋巴球性白血病</w:t>
            </w:r>
            <w:r w:rsidRPr="007F5153">
              <w:rPr>
                <w:rFonts w:ascii="Times New Roman" w:eastAsia="標楷體" w:hAnsi="Times New Roman"/>
              </w:rPr>
              <w:t>(CLL)</w:t>
            </w:r>
            <w:r w:rsidRPr="007F5153">
              <w:rPr>
                <w:rFonts w:ascii="Times New Roman" w:eastAsia="標楷體" w:hAnsi="Times New Roman" w:hint="eastAsia"/>
              </w:rPr>
              <w:t>病人的第一線用藥。適用於與化學療法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用，做為復發</w:t>
            </w:r>
            <w:r w:rsidRPr="007F5153">
              <w:rPr>
                <w:rFonts w:ascii="Times New Roman" w:eastAsia="標楷體" w:hAnsi="Times New Roman"/>
              </w:rPr>
              <w:t>/</w:t>
            </w:r>
            <w:r w:rsidRPr="007F5153">
              <w:rPr>
                <w:rFonts w:ascii="Times New Roman" w:eastAsia="標楷體" w:hAnsi="Times New Roman" w:hint="eastAsia"/>
              </w:rPr>
              <w:t>頑固性的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陽性慢性淋巴球性白血病人的治療用藥。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/>
              <w:t xml:space="preserve">4. </w:t>
            </w:r>
            <w:r w:rsidRPr="007F5153">
              <w:rPr>
                <w:rFonts w:ascii="Times New Roman" w:eastAsia="標楷體" w:hAnsi="Times New Roman" w:hint="eastAsia"/>
              </w:rPr>
              <w:t>成人和兒童病人之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肉芽腫性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血管炎</w:t>
            </w:r>
            <w:r w:rsidRPr="007F5153">
              <w:rPr>
                <w:rFonts w:ascii="Times New Roman" w:eastAsia="標楷體" w:hAnsi="Times New Roman"/>
              </w:rPr>
              <w:t xml:space="preserve">(Granulomatosis with Polyangiitis, GPA)(Wegener’s 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肉芽腫症</w:t>
            </w:r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及顯微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多發性血管炎</w:t>
            </w:r>
            <w:r w:rsidRPr="007F5153">
              <w:rPr>
                <w:rFonts w:ascii="Times New Roman" w:eastAsia="標楷體" w:hAnsi="Times New Roman"/>
              </w:rPr>
              <w:t>(Microscopic Polyangiitis, MPA)</w:t>
            </w:r>
            <w:r w:rsidRPr="007F5153">
              <w:rPr>
                <w:rFonts w:ascii="Times New Roman" w:eastAsia="標楷體" w:hAnsi="Times New Roman" w:hint="eastAsia"/>
              </w:rPr>
              <w:t>：</w:t>
            </w:r>
            <w:r w:rsidRPr="007F5153">
              <w:rPr>
                <w:rFonts w:ascii="Times New Roman" w:eastAsia="標楷體" w:hAnsi="Times New Roman" w:hint="eastAsia"/>
              </w:rPr>
              <w:br/>
            </w:r>
            <w:r w:rsidRPr="007F5153">
              <w:rPr>
                <w:rFonts w:ascii="Times New Roman" w:eastAsia="標楷體" w:hAnsi="Times New Roman" w:hint="eastAsia"/>
              </w:rPr>
              <w:t>與葡萄糖皮質素</w:t>
            </w:r>
            <w:r w:rsidRPr="007F5153">
              <w:rPr>
                <w:rFonts w:ascii="Times New Roman" w:eastAsia="標楷體" w:hAnsi="Times New Roman"/>
              </w:rPr>
              <w:t>(glucocorticoids)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用，適用於治療</w:t>
            </w:r>
            <w:r w:rsidRPr="007F5153">
              <w:rPr>
                <w:rFonts w:ascii="Times New Roman" w:eastAsia="標楷體" w:hAnsi="Times New Roman"/>
              </w:rPr>
              <w:t>2</w:t>
            </w:r>
            <w:r w:rsidRPr="007F5153">
              <w:rPr>
                <w:rFonts w:ascii="Times New Roman" w:eastAsia="標楷體" w:hAnsi="Times New Roman" w:hint="eastAsia"/>
              </w:rPr>
              <w:t>歲以上兒童及成人病人之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性血管炎</w:t>
            </w:r>
            <w:r w:rsidRPr="007F5153">
              <w:rPr>
                <w:rFonts w:ascii="Times New Roman" w:eastAsia="標楷體" w:hAnsi="Times New Roman"/>
              </w:rPr>
              <w:t>(GPA</w:t>
            </w:r>
            <w:r w:rsidRPr="007F5153">
              <w:rPr>
                <w:rFonts w:ascii="Times New Roman" w:eastAsia="標楷體" w:hAnsi="Times New Roman" w:hint="eastAsia"/>
              </w:rPr>
              <w:t>，亦稱為韋格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納肉芽腫症</w:t>
            </w:r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及顯微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多發性血管炎</w:t>
            </w:r>
            <w:r w:rsidRPr="007F5153">
              <w:rPr>
                <w:rFonts w:ascii="Times New Roman" w:eastAsia="標楷體" w:hAnsi="Times New Roman"/>
              </w:rPr>
              <w:t>(MPA)</w:t>
            </w:r>
            <w:r w:rsidRPr="007F5153">
              <w:rPr>
                <w:rFonts w:ascii="Times New Roman" w:eastAsia="標楷體" w:hAnsi="Times New Roman" w:hint="eastAsia"/>
              </w:rPr>
              <w:t>。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/>
              <w:t xml:space="preserve">5. 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尋常性天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疱瘡</w:t>
            </w:r>
            <w:r w:rsidRPr="007F5153">
              <w:rPr>
                <w:rFonts w:ascii="Times New Roman" w:eastAsia="標楷體" w:hAnsi="Times New Roman"/>
              </w:rPr>
              <w:t>(Pemphigus Vulgaris, PV)</w:t>
            </w:r>
            <w:r w:rsidRPr="007F5153">
              <w:rPr>
                <w:rFonts w:ascii="Times New Roman" w:eastAsia="標楷體" w:hAnsi="Times New Roman" w:hint="eastAsia"/>
              </w:rPr>
              <w:t>：與葡萄糖皮質素</w:t>
            </w:r>
            <w:r w:rsidRPr="007F5153">
              <w:rPr>
                <w:rFonts w:ascii="Times New Roman" w:eastAsia="標楷體" w:hAnsi="Times New Roman"/>
              </w:rPr>
              <w:t>(glucocorticoids)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用，適用於治療中度至重度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尋常性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天疱瘡</w:t>
            </w:r>
            <w:r w:rsidRPr="007F5153">
              <w:rPr>
                <w:rFonts w:ascii="Times New Roman" w:eastAsia="標楷體" w:hAnsi="Times New Roman"/>
              </w:rPr>
              <w:t>(PV)</w:t>
            </w:r>
            <w:r w:rsidRPr="007F5153">
              <w:rPr>
                <w:rFonts w:ascii="Times New Roman" w:eastAsia="標楷體" w:hAnsi="Times New Roman" w:hint="eastAsia"/>
              </w:rPr>
              <w:t>的成人病人。</w:t>
            </w:r>
          </w:p>
        </w:tc>
      </w:tr>
      <w:tr w:rsidR="007F5153" w:rsidRPr="007F5153" w14:paraId="293ADDB3" w14:textId="77777777" w:rsidTr="00E04447">
        <w:trPr>
          <w:trHeight w:val="2843"/>
          <w:jc w:val="center"/>
        </w:trPr>
        <w:tc>
          <w:tcPr>
            <w:tcW w:w="960" w:type="dxa"/>
            <w:noWrap/>
            <w:vAlign w:val="center"/>
            <w:hideMark/>
          </w:tcPr>
          <w:p w14:paraId="19F04D48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466" w:type="dxa"/>
            <w:vAlign w:val="center"/>
            <w:hideMark/>
          </w:tcPr>
          <w:p w14:paraId="32D18146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衛部菌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疫輸字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第</w:t>
            </w:r>
            <w:r w:rsidRPr="007F5153">
              <w:rPr>
                <w:rFonts w:ascii="Times New Roman" w:eastAsia="標楷體" w:hAnsi="Times New Roman"/>
              </w:rPr>
              <w:t>001022</w:t>
            </w:r>
            <w:r w:rsidRPr="007F5153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1089" w:type="dxa"/>
            <w:vAlign w:val="center"/>
            <w:hideMark/>
          </w:tcPr>
          <w:p w14:paraId="2A592429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7F5153">
              <w:rPr>
                <w:rFonts w:ascii="Times New Roman" w:eastAsia="標楷體" w:hAnsi="Times New Roman" w:hint="eastAsia"/>
              </w:rPr>
              <w:t>莫須瘤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皮下注射劑</w:t>
            </w:r>
          </w:p>
        </w:tc>
        <w:tc>
          <w:tcPr>
            <w:tcW w:w="1657" w:type="dxa"/>
            <w:vAlign w:val="center"/>
            <w:hideMark/>
          </w:tcPr>
          <w:p w14:paraId="38CD088B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7F5153">
              <w:rPr>
                <w:rFonts w:ascii="Times New Roman" w:eastAsia="標楷體" w:hAnsi="Times New Roman"/>
              </w:rPr>
              <w:t>MabThera</w:t>
            </w:r>
            <w:proofErr w:type="spellEnd"/>
            <w:r w:rsidRPr="007F5153">
              <w:rPr>
                <w:rFonts w:ascii="Times New Roman" w:eastAsia="標楷體" w:hAnsi="Times New Roman"/>
              </w:rPr>
              <w:t xml:space="preserve"> solution for subcutaneous injection</w:t>
            </w:r>
          </w:p>
        </w:tc>
        <w:tc>
          <w:tcPr>
            <w:tcW w:w="1445" w:type="dxa"/>
            <w:vAlign w:val="center"/>
            <w:hideMark/>
          </w:tcPr>
          <w:p w14:paraId="2CCD998F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羅氏大藥廠股份有限公司</w:t>
            </w:r>
          </w:p>
        </w:tc>
        <w:tc>
          <w:tcPr>
            <w:tcW w:w="7495" w:type="dxa"/>
            <w:vAlign w:val="center"/>
            <w:hideMark/>
          </w:tcPr>
          <w:p w14:paraId="6688CD5A" w14:textId="619B42ED" w:rsidR="007F5153" w:rsidRPr="007F5153" w:rsidRDefault="007F5153" w:rsidP="00BF0D5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/>
              </w:rPr>
              <w:t>1.</w:t>
            </w:r>
            <w:r w:rsidRPr="007F5153">
              <w:rPr>
                <w:rFonts w:ascii="Times New Roman" w:eastAsia="標楷體" w:hAnsi="Times New Roman" w:hint="eastAsia"/>
              </w:rPr>
              <w:t>非何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杰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金氏淋巴瘤</w:t>
            </w:r>
            <w:r w:rsidRPr="007F5153">
              <w:rPr>
                <w:rFonts w:ascii="Times New Roman" w:eastAsia="標楷體" w:hAnsi="Times New Roman" w:hint="eastAsia"/>
              </w:rPr>
              <w:br/>
            </w:r>
            <w:r w:rsidRPr="007F5153">
              <w:rPr>
                <w:rFonts w:ascii="Times New Roman" w:eastAsia="標楷體" w:hAnsi="Times New Roman"/>
              </w:rPr>
              <w:t>(1)</w:t>
            </w:r>
            <w:r w:rsidRPr="007F5153">
              <w:rPr>
                <w:rFonts w:ascii="Times New Roman" w:eastAsia="標楷體" w:hAnsi="Times New Roman" w:hint="eastAsia"/>
              </w:rPr>
              <w:t>用於復發或對化學療法有抗性之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低惡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度</w:t>
            </w:r>
            <w:r w:rsidRPr="007F5153">
              <w:rPr>
                <w:rFonts w:ascii="Times New Roman" w:eastAsia="標楷體" w:hAnsi="Times New Roman"/>
              </w:rPr>
              <w:t>B-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細胞非何杰金氏淋巴瘤，且對誘導療法產生療效反應後之維持治療。</w:t>
            </w:r>
            <w:r w:rsidRPr="007F5153">
              <w:rPr>
                <w:rFonts w:ascii="Times New Roman" w:eastAsia="標楷體" w:hAnsi="Times New Roman"/>
              </w:rPr>
              <w:t>(2)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CVP</w:t>
            </w:r>
            <w:r w:rsidRPr="007F5153">
              <w:rPr>
                <w:rFonts w:ascii="Times New Roman" w:eastAsia="標楷體" w:hAnsi="Times New Roman" w:hint="eastAsia"/>
              </w:rPr>
              <w:t>或</w:t>
            </w:r>
            <w:r w:rsidRPr="007F5153">
              <w:rPr>
                <w:rFonts w:ascii="Times New Roman" w:eastAsia="標楷體" w:hAnsi="Times New Roman"/>
              </w:rPr>
              <w:t>CHOP</w:t>
            </w:r>
            <w:r w:rsidRPr="007F5153">
              <w:rPr>
                <w:rFonts w:ascii="Times New Roman" w:eastAsia="標楷體" w:hAnsi="Times New Roman" w:hint="eastAsia"/>
              </w:rPr>
              <w:t>化學療法用於未經治療之和緩性</w:t>
            </w:r>
            <w:r w:rsidRPr="007F5153">
              <w:rPr>
                <w:rFonts w:ascii="Times New Roman" w:eastAsia="標楷體" w:hAnsi="Times New Roman"/>
              </w:rPr>
              <w:t>(</w:t>
            </w:r>
            <w:r w:rsidRPr="007F5153">
              <w:rPr>
                <w:rFonts w:ascii="Times New Roman" w:eastAsia="標楷體" w:hAnsi="Times New Roman" w:hint="eastAsia"/>
              </w:rPr>
              <w:t>組織型態為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濾泡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型</w:t>
            </w:r>
            <w:r w:rsidRPr="007F5153">
              <w:rPr>
                <w:rFonts w:ascii="Times New Roman" w:eastAsia="標楷體" w:hAnsi="Times New Roman"/>
              </w:rPr>
              <w:t>) 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細胞非何杰金氏淋巴瘤的患者。</w:t>
            </w:r>
            <w:r w:rsidRPr="007F5153">
              <w:rPr>
                <w:rFonts w:ascii="Times New Roman" w:eastAsia="標楷體" w:hAnsi="Times New Roman"/>
              </w:rPr>
              <w:t>(3)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CHOP</w:t>
            </w:r>
            <w:r w:rsidRPr="007F5153">
              <w:rPr>
                <w:rFonts w:ascii="Times New Roman" w:eastAsia="標楷體" w:hAnsi="Times New Roman" w:hint="eastAsia"/>
              </w:rPr>
              <w:t>或其他化學療法用於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抗原陽性之瀰漫性大型</w:t>
            </w:r>
            <w:r w:rsidRPr="007F5153">
              <w:rPr>
                <w:rFonts w:ascii="Times New Roman" w:eastAsia="標楷體" w:hAnsi="Times New Roman"/>
              </w:rPr>
              <w:t>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細胞非何杰金氏淋巴瘤。</w:t>
            </w:r>
            <w:r w:rsidRPr="007F5153">
              <w:rPr>
                <w:rFonts w:ascii="Times New Roman" w:eastAsia="標楷體" w:hAnsi="Times New Roman"/>
              </w:rPr>
              <w:t>(4)</w:t>
            </w:r>
            <w:r w:rsidRPr="007F5153">
              <w:rPr>
                <w:rFonts w:ascii="Times New Roman" w:eastAsia="標楷體" w:hAnsi="Times New Roman" w:hint="eastAsia"/>
              </w:rPr>
              <w:t>用於做為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濾泡性淋巴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瘤患者對誘導療法產生反應之後的維持治療用藥。</w:t>
            </w:r>
            <w:r w:rsidRPr="007F5153">
              <w:rPr>
                <w:rFonts w:ascii="Times New Roman" w:eastAsia="標楷體" w:hAnsi="Times New Roman" w:hint="eastAsia"/>
              </w:rPr>
              <w:br/>
            </w:r>
            <w:r w:rsidRPr="007F5153">
              <w:rPr>
                <w:rFonts w:ascii="Times New Roman" w:eastAsia="標楷體" w:hAnsi="Times New Roman"/>
              </w:rPr>
              <w:t>2.</w:t>
            </w:r>
            <w:r w:rsidRPr="007F5153">
              <w:rPr>
                <w:rFonts w:ascii="Times New Roman" w:eastAsia="標楷體" w:hAnsi="Times New Roman" w:hint="eastAsia"/>
              </w:rPr>
              <w:t>慢性淋巴球性白血病</w:t>
            </w:r>
            <w:r w:rsidRPr="007F5153">
              <w:rPr>
                <w:rFonts w:ascii="Times New Roman" w:eastAsia="標楷體" w:hAnsi="Times New Roman" w:hint="eastAsia"/>
              </w:rPr>
              <w:br/>
            </w:r>
            <w:r w:rsidRPr="007F5153">
              <w:rPr>
                <w:rFonts w:ascii="Times New Roman" w:eastAsia="標楷體" w:hAnsi="Times New Roman"/>
              </w:rPr>
              <w:t>(1)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莫須瘤</w:t>
            </w:r>
            <w:proofErr w:type="gramEnd"/>
            <w:r w:rsidRPr="007F5153">
              <w:rPr>
                <w:rFonts w:ascii="Times New Roman" w:eastAsia="標楷體" w:hAnsi="Times New Roman"/>
              </w:rPr>
              <w:t>(</w:t>
            </w:r>
            <w:proofErr w:type="spellStart"/>
            <w:r w:rsidRPr="007F5153">
              <w:rPr>
                <w:rFonts w:ascii="Times New Roman" w:eastAsia="標楷體" w:hAnsi="Times New Roman"/>
              </w:rPr>
              <w:t>MabThera</w:t>
            </w:r>
            <w:proofErr w:type="spellEnd"/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適用於與</w:t>
            </w:r>
            <w:r w:rsidRPr="007F5153">
              <w:rPr>
                <w:rFonts w:ascii="Times New Roman" w:eastAsia="標楷體" w:hAnsi="Times New Roman"/>
              </w:rPr>
              <w:t>fludarabine</w:t>
            </w:r>
            <w:r w:rsidRPr="007F5153">
              <w:rPr>
                <w:rFonts w:ascii="Times New Roman" w:eastAsia="標楷體" w:hAnsi="Times New Roman" w:hint="eastAsia"/>
              </w:rPr>
              <w:t>及</w:t>
            </w:r>
            <w:r w:rsidRPr="007F5153">
              <w:rPr>
                <w:rFonts w:ascii="Times New Roman" w:eastAsia="標楷體" w:hAnsi="Times New Roman"/>
              </w:rPr>
              <w:t>cyclophosphamide</w:t>
            </w:r>
            <w:r w:rsidRPr="007F5153">
              <w:rPr>
                <w:rFonts w:ascii="Times New Roman" w:eastAsia="標楷體" w:hAnsi="Times New Roman" w:hint="eastAsia"/>
              </w:rPr>
              <w:t>併用，做為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陽性慢性淋巴球性白血病</w:t>
            </w:r>
            <w:r w:rsidRPr="007F5153">
              <w:rPr>
                <w:rFonts w:ascii="Times New Roman" w:eastAsia="標楷體" w:hAnsi="Times New Roman"/>
              </w:rPr>
              <w:t>(CLL)</w:t>
            </w:r>
            <w:r w:rsidRPr="007F5153">
              <w:rPr>
                <w:rFonts w:ascii="Times New Roman" w:eastAsia="標楷體" w:hAnsi="Times New Roman" w:hint="eastAsia"/>
              </w:rPr>
              <w:t>患者的第一線用藥。</w:t>
            </w:r>
            <w:r w:rsidRPr="007F5153">
              <w:rPr>
                <w:rFonts w:ascii="Times New Roman" w:eastAsia="標楷體" w:hAnsi="Times New Roman"/>
              </w:rPr>
              <w:t>(2)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莫須瘤</w:t>
            </w:r>
            <w:proofErr w:type="gramEnd"/>
            <w:r w:rsidRPr="007F5153">
              <w:rPr>
                <w:rFonts w:ascii="Times New Roman" w:eastAsia="標楷體" w:hAnsi="Times New Roman"/>
              </w:rPr>
              <w:t>(</w:t>
            </w:r>
            <w:proofErr w:type="spellStart"/>
            <w:r w:rsidRPr="007F5153">
              <w:rPr>
                <w:rFonts w:ascii="Times New Roman" w:eastAsia="標楷體" w:hAnsi="Times New Roman"/>
              </w:rPr>
              <w:t>MabThera</w:t>
            </w:r>
            <w:proofErr w:type="spellEnd"/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適用於與化學療法併用，做為復發</w:t>
            </w:r>
            <w:r w:rsidRPr="007F5153">
              <w:rPr>
                <w:rFonts w:ascii="Times New Roman" w:eastAsia="標楷體" w:hAnsi="Times New Roman"/>
              </w:rPr>
              <w:t>/</w:t>
            </w:r>
            <w:r w:rsidRPr="007F5153">
              <w:rPr>
                <w:rFonts w:ascii="Times New Roman" w:eastAsia="標楷體" w:hAnsi="Times New Roman" w:hint="eastAsia"/>
              </w:rPr>
              <w:t>頑固性的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陽性慢性淋巴球性白血病患者的治療用藥。</w:t>
            </w:r>
          </w:p>
        </w:tc>
      </w:tr>
      <w:tr w:rsidR="007F5153" w:rsidRPr="007F5153" w14:paraId="01E1251D" w14:textId="77777777" w:rsidTr="00E04447">
        <w:trPr>
          <w:trHeight w:val="4665"/>
          <w:jc w:val="center"/>
        </w:trPr>
        <w:tc>
          <w:tcPr>
            <w:tcW w:w="960" w:type="dxa"/>
            <w:noWrap/>
            <w:vAlign w:val="center"/>
            <w:hideMark/>
          </w:tcPr>
          <w:p w14:paraId="5257D3FF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/>
              </w:rPr>
              <w:lastRenderedPageBreak/>
              <w:t>3</w:t>
            </w:r>
          </w:p>
        </w:tc>
        <w:tc>
          <w:tcPr>
            <w:tcW w:w="1466" w:type="dxa"/>
            <w:vAlign w:val="center"/>
            <w:hideMark/>
          </w:tcPr>
          <w:p w14:paraId="0E6CD1C7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衛部菌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疫輸字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第</w:t>
            </w:r>
            <w:r w:rsidRPr="007F5153">
              <w:rPr>
                <w:rFonts w:ascii="Times New Roman" w:eastAsia="標楷體" w:hAnsi="Times New Roman"/>
              </w:rPr>
              <w:t>001094</w:t>
            </w:r>
            <w:r w:rsidRPr="007F5153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1089" w:type="dxa"/>
            <w:vAlign w:val="center"/>
            <w:hideMark/>
          </w:tcPr>
          <w:p w14:paraId="7FB88798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7F5153">
              <w:rPr>
                <w:rFonts w:ascii="Times New Roman" w:eastAsia="標楷體" w:hAnsi="Times New Roman" w:hint="eastAsia"/>
              </w:rPr>
              <w:t>妥利希瑪</w:t>
            </w:r>
            <w:proofErr w:type="gramEnd"/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 w:hint="eastAsia"/>
              </w:rPr>
              <w:t>注射劑</w:t>
            </w:r>
          </w:p>
        </w:tc>
        <w:tc>
          <w:tcPr>
            <w:tcW w:w="1657" w:type="dxa"/>
            <w:vAlign w:val="center"/>
            <w:hideMark/>
          </w:tcPr>
          <w:p w14:paraId="6536DD49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7F5153">
              <w:rPr>
                <w:rFonts w:ascii="Times New Roman" w:eastAsia="標楷體" w:hAnsi="Times New Roman"/>
              </w:rPr>
              <w:t>Truxima</w:t>
            </w:r>
            <w:proofErr w:type="spellEnd"/>
          </w:p>
        </w:tc>
        <w:tc>
          <w:tcPr>
            <w:tcW w:w="1445" w:type="dxa"/>
            <w:vAlign w:val="center"/>
            <w:hideMark/>
          </w:tcPr>
          <w:p w14:paraId="04D41828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台灣賽特瑞恩有限公司</w:t>
            </w:r>
          </w:p>
        </w:tc>
        <w:tc>
          <w:tcPr>
            <w:tcW w:w="7495" w:type="dxa"/>
            <w:vAlign w:val="center"/>
            <w:hideMark/>
          </w:tcPr>
          <w:p w14:paraId="57AF79D1" w14:textId="77777777" w:rsidR="007F5153" w:rsidRPr="007F5153" w:rsidRDefault="007F5153" w:rsidP="00BF0D5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/>
              </w:rPr>
              <w:t>1</w:t>
            </w:r>
            <w:r w:rsidRPr="007F5153">
              <w:rPr>
                <w:rFonts w:ascii="Times New Roman" w:eastAsia="標楷體" w:hAnsi="Times New Roman" w:hint="eastAsia"/>
              </w:rPr>
              <w:t>、非何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杰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金氏淋巴瘤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(1)</w:t>
            </w:r>
            <w:r w:rsidRPr="007F5153">
              <w:rPr>
                <w:rFonts w:ascii="Times New Roman" w:eastAsia="標楷體" w:hAnsi="Times New Roman" w:hint="eastAsia"/>
              </w:rPr>
              <w:t>用於復發或對化學療法有抗性之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低惡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度</w:t>
            </w:r>
            <w:r w:rsidRPr="007F5153">
              <w:rPr>
                <w:rFonts w:ascii="Times New Roman" w:eastAsia="標楷體" w:hAnsi="Times New Roman"/>
              </w:rPr>
              <w:t>B-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(2)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CVP</w:t>
            </w:r>
            <w:r w:rsidRPr="007F5153">
              <w:rPr>
                <w:rFonts w:ascii="Times New Roman" w:eastAsia="標楷體" w:hAnsi="Times New Roman" w:hint="eastAsia"/>
              </w:rPr>
              <w:t>化學療法用於未經治療之和緩性（組織型態為濾泡型）</w:t>
            </w:r>
            <w:r w:rsidRPr="007F5153">
              <w:rPr>
                <w:rFonts w:ascii="Times New Roman" w:eastAsia="標楷體" w:hAnsi="Times New Roman"/>
              </w:rPr>
              <w:t>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細胞非何杰金氏淋巴瘤的病人。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(3)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CHOP</w:t>
            </w:r>
            <w:r w:rsidRPr="007F5153">
              <w:rPr>
                <w:rFonts w:ascii="Times New Roman" w:eastAsia="標楷體" w:hAnsi="Times New Roman" w:hint="eastAsia"/>
              </w:rPr>
              <w:t>或其他化學療法用於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抗原陽性之瀰漫性大型</w:t>
            </w:r>
            <w:r w:rsidRPr="007F5153">
              <w:rPr>
                <w:rFonts w:ascii="Times New Roman" w:eastAsia="標楷體" w:hAnsi="Times New Roman"/>
              </w:rPr>
              <w:t>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(4)</w:t>
            </w:r>
            <w:r w:rsidRPr="007F5153">
              <w:rPr>
                <w:rFonts w:ascii="Times New Roman" w:eastAsia="標楷體" w:hAnsi="Times New Roman" w:hint="eastAsia"/>
              </w:rPr>
              <w:t>用於做為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濾泡性淋巴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瘤病人對誘導療法產生反應之後的維持治療用藥。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2</w:t>
            </w:r>
            <w:r w:rsidRPr="007F5153">
              <w:rPr>
                <w:rFonts w:ascii="Times New Roman" w:eastAsia="標楷體" w:hAnsi="Times New Roman" w:hint="eastAsia"/>
              </w:rPr>
              <w:t>、類風濕性關節炎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(1)</w:t>
            </w:r>
            <w:r w:rsidRPr="007F5153">
              <w:rPr>
                <w:rFonts w:ascii="Times New Roman" w:eastAsia="標楷體" w:hAnsi="Times New Roman" w:hint="eastAsia"/>
              </w:rPr>
              <w:t>與</w:t>
            </w:r>
            <w:r w:rsidRPr="007F5153">
              <w:rPr>
                <w:rFonts w:ascii="Times New Roman" w:eastAsia="標楷體" w:hAnsi="Times New Roman"/>
              </w:rPr>
              <w:t>methotrexate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用，適用於治療曾接受一種（含）以上之腫瘤壞死因子</w:t>
            </w:r>
            <w:r w:rsidRPr="007F5153">
              <w:rPr>
                <w:rFonts w:ascii="Times New Roman" w:eastAsia="標楷體" w:hAnsi="Times New Roman"/>
              </w:rPr>
              <w:t>(TNF)</w:t>
            </w:r>
            <w:r w:rsidRPr="007F5153">
              <w:rPr>
                <w:rFonts w:ascii="Times New Roman" w:eastAsia="標楷體" w:hAnsi="Times New Roman" w:hint="eastAsia"/>
              </w:rPr>
              <w:t>抑制療法治療但效果不彰，或無法耐受的活動性類風濕性關節炎成人病人。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(2)</w:t>
            </w:r>
            <w:r w:rsidRPr="007F5153">
              <w:rPr>
                <w:rFonts w:ascii="Times New Roman" w:eastAsia="標楷體" w:hAnsi="Times New Roman" w:hint="eastAsia"/>
              </w:rPr>
              <w:t>與</w:t>
            </w:r>
            <w:r w:rsidRPr="007F5153">
              <w:rPr>
                <w:rFonts w:ascii="Times New Roman" w:eastAsia="標楷體" w:hAnsi="Times New Roman"/>
              </w:rPr>
              <w:t>methotrexate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用，經</w:t>
            </w:r>
            <w:r w:rsidRPr="007F5153">
              <w:rPr>
                <w:rFonts w:ascii="Times New Roman" w:eastAsia="標楷體" w:hAnsi="Times New Roman"/>
              </w:rPr>
              <w:t>X</w:t>
            </w:r>
            <w:r w:rsidRPr="007F5153">
              <w:rPr>
                <w:rFonts w:ascii="Times New Roman" w:eastAsia="標楷體" w:hAnsi="Times New Roman" w:hint="eastAsia"/>
              </w:rPr>
              <w:t>光檢查已證實可減緩關節結構受損的進展。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3</w:t>
            </w:r>
            <w:r w:rsidRPr="007F5153">
              <w:rPr>
                <w:rFonts w:ascii="Times New Roman" w:eastAsia="標楷體" w:hAnsi="Times New Roman" w:hint="eastAsia"/>
              </w:rPr>
              <w:t>、慢性淋巴球性白血病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(1)</w:t>
            </w:r>
            <w:r w:rsidRPr="007F5153">
              <w:rPr>
                <w:rFonts w:ascii="Times New Roman" w:eastAsia="標楷體" w:hAnsi="Times New Roman" w:hint="eastAsia"/>
              </w:rPr>
              <w:t>適用於與</w:t>
            </w:r>
            <w:r w:rsidRPr="007F5153">
              <w:rPr>
                <w:rFonts w:ascii="Times New Roman" w:eastAsia="標楷體" w:hAnsi="Times New Roman"/>
              </w:rPr>
              <w:t>fludarabine</w:t>
            </w:r>
            <w:r w:rsidRPr="007F5153">
              <w:rPr>
                <w:rFonts w:ascii="Times New Roman" w:eastAsia="標楷體" w:hAnsi="Times New Roman" w:hint="eastAsia"/>
              </w:rPr>
              <w:t>及</w:t>
            </w:r>
            <w:r w:rsidRPr="007F5153">
              <w:rPr>
                <w:rFonts w:ascii="Times New Roman" w:eastAsia="標楷體" w:hAnsi="Times New Roman"/>
              </w:rPr>
              <w:t>cyclophosphamide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用，做為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陽性慢性淋巴球性白血病</w:t>
            </w:r>
            <w:r w:rsidRPr="007F5153">
              <w:rPr>
                <w:rFonts w:ascii="Times New Roman" w:eastAsia="標楷體" w:hAnsi="Times New Roman"/>
              </w:rPr>
              <w:t>(CLL)</w:t>
            </w:r>
            <w:r w:rsidRPr="007F5153">
              <w:rPr>
                <w:rFonts w:ascii="Times New Roman" w:eastAsia="標楷體" w:hAnsi="Times New Roman" w:hint="eastAsia"/>
              </w:rPr>
              <w:t>病人的第一線用藥。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(2)</w:t>
            </w:r>
            <w:r w:rsidRPr="007F5153">
              <w:rPr>
                <w:rFonts w:ascii="Times New Roman" w:eastAsia="標楷體" w:hAnsi="Times New Roman" w:hint="eastAsia"/>
              </w:rPr>
              <w:t>適用於與化學療法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用，做為復發</w:t>
            </w:r>
            <w:r w:rsidRPr="007F5153">
              <w:rPr>
                <w:rFonts w:ascii="Times New Roman" w:eastAsia="標楷體" w:hAnsi="Times New Roman"/>
              </w:rPr>
              <w:t>/</w:t>
            </w:r>
            <w:r w:rsidRPr="007F5153">
              <w:rPr>
                <w:rFonts w:ascii="Times New Roman" w:eastAsia="標楷體" w:hAnsi="Times New Roman" w:hint="eastAsia"/>
              </w:rPr>
              <w:t>頑固性的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陽性慢性淋巴球白血病病人的治療用藥。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4</w:t>
            </w:r>
            <w:r w:rsidRPr="007F5153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肉芽腫性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血管炎</w:t>
            </w:r>
            <w:r w:rsidRPr="007F5153">
              <w:rPr>
                <w:rFonts w:ascii="Times New Roman" w:eastAsia="標楷體" w:hAnsi="Times New Roman"/>
              </w:rPr>
              <w:t>(Granulomatosis with Polyangiitis, GPA)</w:t>
            </w:r>
            <w:r w:rsidRPr="007F5153">
              <w:rPr>
                <w:rFonts w:ascii="Times New Roman" w:eastAsia="標楷體" w:hAnsi="Times New Roman" w:hint="eastAsia"/>
              </w:rPr>
              <w:t>（</w:t>
            </w:r>
            <w:r w:rsidRPr="007F5153">
              <w:rPr>
                <w:rFonts w:ascii="Times New Roman" w:eastAsia="標楷體" w:hAnsi="Times New Roman"/>
              </w:rPr>
              <w:t>Wegener’s</w:t>
            </w:r>
            <w:r w:rsidRPr="007F5153">
              <w:rPr>
                <w:rFonts w:ascii="Times New Roman" w:eastAsia="標楷體" w:hAnsi="Times New Roman" w:hint="eastAsia"/>
              </w:rPr>
              <w:t>肉芽腫症）及顯微多發性血管炎</w:t>
            </w:r>
            <w:r w:rsidRPr="007F5153">
              <w:rPr>
                <w:rFonts w:ascii="Times New Roman" w:eastAsia="標楷體" w:hAnsi="Times New Roman"/>
              </w:rPr>
              <w:t>(Microscopic Polyangiitis, MPA)</w:t>
            </w:r>
            <w:r w:rsidRPr="007F5153">
              <w:rPr>
                <w:rFonts w:ascii="Times New Roman" w:eastAsia="標楷體" w:hAnsi="Times New Roman" w:hint="eastAsia"/>
              </w:rPr>
              <w:t>：與葡萄糖皮質素</w:t>
            </w:r>
            <w:r w:rsidRPr="007F5153">
              <w:rPr>
                <w:rFonts w:ascii="Times New Roman" w:eastAsia="標楷體" w:hAnsi="Times New Roman"/>
              </w:rPr>
              <w:t>(glucocorticoids)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用，適用於治療成人之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性血管炎（</w:t>
            </w:r>
            <w:r w:rsidRPr="007F5153">
              <w:rPr>
                <w:rFonts w:ascii="Times New Roman" w:eastAsia="標楷體" w:hAnsi="Times New Roman"/>
              </w:rPr>
              <w:t>GPA</w:t>
            </w:r>
            <w:r w:rsidRPr="007F5153">
              <w:rPr>
                <w:rFonts w:ascii="Times New Roman" w:eastAsia="標楷體" w:hAnsi="Times New Roman" w:hint="eastAsia"/>
              </w:rPr>
              <w:t>，亦稱為韋格納肉芽腫症）及顯微多發性血管炎</w:t>
            </w:r>
            <w:r w:rsidRPr="007F5153">
              <w:rPr>
                <w:rFonts w:ascii="Times New Roman" w:eastAsia="標楷體" w:hAnsi="Times New Roman"/>
              </w:rPr>
              <w:t>(MPA)</w:t>
            </w:r>
            <w:r w:rsidRPr="007F5153">
              <w:rPr>
                <w:rFonts w:ascii="Times New Roman" w:eastAsia="標楷體" w:hAnsi="Times New Roman" w:hint="eastAsia"/>
              </w:rPr>
              <w:t>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5</w:t>
            </w:r>
            <w:r w:rsidRPr="007F5153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尋常性天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疱瘡</w:t>
            </w:r>
            <w:r w:rsidRPr="007F5153">
              <w:rPr>
                <w:rFonts w:ascii="Times New Roman" w:eastAsia="標楷體" w:hAnsi="Times New Roman"/>
              </w:rPr>
              <w:t>(Pemphigus Vulgaris, PV)</w:t>
            </w:r>
            <w:r w:rsidRPr="007F5153">
              <w:rPr>
                <w:rFonts w:ascii="Times New Roman" w:eastAsia="標楷體" w:hAnsi="Times New Roman" w:hint="eastAsia"/>
              </w:rPr>
              <w:t>：與葡萄糖皮質素</w:t>
            </w:r>
            <w:r w:rsidRPr="007F5153">
              <w:rPr>
                <w:rFonts w:ascii="Times New Roman" w:eastAsia="標楷體" w:hAnsi="Times New Roman"/>
              </w:rPr>
              <w:t>(glucocorticoids)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用，適用於治療中度至重度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尋常性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天疱瘡</w:t>
            </w:r>
            <w:r w:rsidRPr="007F5153">
              <w:rPr>
                <w:rFonts w:ascii="Times New Roman" w:eastAsia="標楷體" w:hAnsi="Times New Roman"/>
              </w:rPr>
              <w:t>(PV)</w:t>
            </w:r>
            <w:r w:rsidRPr="007F5153">
              <w:rPr>
                <w:rFonts w:ascii="Times New Roman" w:eastAsia="標楷體" w:hAnsi="Times New Roman" w:hint="eastAsia"/>
              </w:rPr>
              <w:t>的成人病人。</w:t>
            </w:r>
          </w:p>
        </w:tc>
      </w:tr>
      <w:tr w:rsidR="007F5153" w:rsidRPr="007F5153" w14:paraId="34F3CD4E" w14:textId="77777777" w:rsidTr="00E04447">
        <w:trPr>
          <w:trHeight w:val="4815"/>
          <w:jc w:val="center"/>
        </w:trPr>
        <w:tc>
          <w:tcPr>
            <w:tcW w:w="960" w:type="dxa"/>
            <w:noWrap/>
            <w:vAlign w:val="center"/>
            <w:hideMark/>
          </w:tcPr>
          <w:p w14:paraId="35598960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466" w:type="dxa"/>
            <w:vAlign w:val="center"/>
            <w:hideMark/>
          </w:tcPr>
          <w:p w14:paraId="46F7F86D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衛部菌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疫輸字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第</w:t>
            </w:r>
            <w:r w:rsidRPr="007F5153">
              <w:rPr>
                <w:rFonts w:ascii="Times New Roman" w:eastAsia="標楷體" w:hAnsi="Times New Roman"/>
              </w:rPr>
              <w:t>001118</w:t>
            </w:r>
            <w:r w:rsidRPr="007F5153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1089" w:type="dxa"/>
            <w:vAlign w:val="center"/>
            <w:hideMark/>
          </w:tcPr>
          <w:p w14:paraId="32024231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7F5153">
              <w:rPr>
                <w:rFonts w:ascii="Times New Roman" w:eastAsia="標楷體" w:hAnsi="Times New Roman" w:hint="eastAsia"/>
              </w:rPr>
              <w:t>洛希隆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注射劑</w:t>
            </w:r>
          </w:p>
        </w:tc>
        <w:tc>
          <w:tcPr>
            <w:tcW w:w="1657" w:type="dxa"/>
            <w:vAlign w:val="center"/>
            <w:hideMark/>
          </w:tcPr>
          <w:p w14:paraId="1BB22E6A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7F5153">
              <w:rPr>
                <w:rFonts w:ascii="Times New Roman" w:eastAsia="標楷體" w:hAnsi="Times New Roman"/>
              </w:rPr>
              <w:t>Rixathon</w:t>
            </w:r>
            <w:proofErr w:type="spellEnd"/>
            <w:r w:rsidRPr="007F5153">
              <w:rPr>
                <w:rFonts w:ascii="Times New Roman" w:eastAsia="標楷體" w:hAnsi="Times New Roman"/>
              </w:rPr>
              <w:t xml:space="preserve"> Concentrate for Solution for Infusion</w:t>
            </w:r>
          </w:p>
        </w:tc>
        <w:tc>
          <w:tcPr>
            <w:tcW w:w="1445" w:type="dxa"/>
            <w:vAlign w:val="center"/>
            <w:hideMark/>
          </w:tcPr>
          <w:p w14:paraId="1DAB5F78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台灣諾華股份有限公司</w:t>
            </w:r>
          </w:p>
        </w:tc>
        <w:tc>
          <w:tcPr>
            <w:tcW w:w="7495" w:type="dxa"/>
            <w:vAlign w:val="center"/>
            <w:hideMark/>
          </w:tcPr>
          <w:p w14:paraId="527A3298" w14:textId="5AB72D2E" w:rsidR="007F5153" w:rsidRPr="007F5153" w:rsidRDefault="007F5153" w:rsidP="00BF0D5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/>
              </w:rPr>
              <w:t>1</w:t>
            </w:r>
            <w:r w:rsidRPr="007F5153">
              <w:rPr>
                <w:rFonts w:ascii="Times New Roman" w:eastAsia="標楷體" w:hAnsi="Times New Roman" w:hint="eastAsia"/>
              </w:rPr>
              <w:t>、非何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杰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金氏淋巴瘤</w:t>
            </w:r>
            <w:r w:rsidRPr="007F5153">
              <w:rPr>
                <w:rFonts w:ascii="Times New Roman" w:eastAsia="標楷體" w:hAnsi="Times New Roman" w:hint="eastAsia"/>
              </w:rPr>
              <w:br/>
            </w:r>
            <w:r w:rsidRPr="007F5153">
              <w:rPr>
                <w:rFonts w:ascii="Times New Roman" w:eastAsia="標楷體" w:hAnsi="Times New Roman"/>
              </w:rPr>
              <w:t>(1)</w:t>
            </w:r>
            <w:r w:rsidRPr="007F5153">
              <w:rPr>
                <w:rFonts w:ascii="Times New Roman" w:eastAsia="標楷體" w:hAnsi="Times New Roman" w:hint="eastAsia"/>
              </w:rPr>
              <w:t>用於復發或對化學療法有抗性之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低惡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度</w:t>
            </w:r>
            <w:r w:rsidRPr="007F5153">
              <w:rPr>
                <w:rFonts w:ascii="Times New Roman" w:eastAsia="標楷體" w:hAnsi="Times New Roman"/>
              </w:rPr>
              <w:t>B-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細胞非何杰金氏淋巴瘤。</w:t>
            </w:r>
            <w:r w:rsidRPr="007F5153">
              <w:rPr>
                <w:rFonts w:ascii="Times New Roman" w:eastAsia="標楷體" w:hAnsi="Times New Roman"/>
              </w:rPr>
              <w:t>(2)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CVP</w:t>
            </w:r>
            <w:r w:rsidRPr="007F5153">
              <w:rPr>
                <w:rFonts w:ascii="Times New Roman" w:eastAsia="標楷體" w:hAnsi="Times New Roman" w:hint="eastAsia"/>
              </w:rPr>
              <w:t>化學療法用於未經治療之和緩性</w:t>
            </w:r>
            <w:r w:rsidRPr="007F5153">
              <w:rPr>
                <w:rFonts w:ascii="Times New Roman" w:eastAsia="標楷體" w:hAnsi="Times New Roman"/>
              </w:rPr>
              <w:t>(</w:t>
            </w:r>
            <w:r w:rsidRPr="007F5153">
              <w:rPr>
                <w:rFonts w:ascii="Times New Roman" w:eastAsia="標楷體" w:hAnsi="Times New Roman" w:hint="eastAsia"/>
              </w:rPr>
              <w:t>組織型態為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濾泡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型</w:t>
            </w:r>
            <w:r w:rsidRPr="007F5153">
              <w:rPr>
                <w:rFonts w:ascii="Times New Roman" w:eastAsia="標楷體" w:hAnsi="Times New Roman"/>
              </w:rPr>
              <w:t>)B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細胞非何杰金氏淋巴瘤的病人。</w:t>
            </w:r>
            <w:r w:rsidRPr="007F5153">
              <w:rPr>
                <w:rFonts w:ascii="Times New Roman" w:eastAsia="標楷體" w:hAnsi="Times New Roman"/>
              </w:rPr>
              <w:t>(3)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CHOP</w:t>
            </w:r>
            <w:r w:rsidRPr="007F5153">
              <w:rPr>
                <w:rFonts w:ascii="Times New Roman" w:eastAsia="標楷體" w:hAnsi="Times New Roman" w:hint="eastAsia"/>
              </w:rPr>
              <w:t>或其他化學療法用於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抗原陽性之瀰漫性大型</w:t>
            </w:r>
            <w:r w:rsidRPr="007F5153">
              <w:rPr>
                <w:rFonts w:ascii="Times New Roman" w:eastAsia="標楷體" w:hAnsi="Times New Roman"/>
              </w:rPr>
              <w:t>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細胞非何杰金氏淋巴瘤。</w:t>
            </w:r>
            <w:r w:rsidRPr="007F5153">
              <w:rPr>
                <w:rFonts w:ascii="Times New Roman" w:eastAsia="標楷體" w:hAnsi="Times New Roman"/>
              </w:rPr>
              <w:t>(4)</w:t>
            </w:r>
            <w:r w:rsidRPr="007F5153">
              <w:rPr>
                <w:rFonts w:ascii="Times New Roman" w:eastAsia="標楷體" w:hAnsi="Times New Roman" w:hint="eastAsia"/>
              </w:rPr>
              <w:t>用於做為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濾泡性淋巴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瘤病人對誘導療法產生反應之後的維持治療用藥。</w:t>
            </w:r>
            <w:r w:rsidRPr="007F5153">
              <w:rPr>
                <w:rFonts w:ascii="Times New Roman" w:eastAsia="標楷體" w:hAnsi="Times New Roman" w:hint="eastAsia"/>
              </w:rPr>
              <w:br/>
            </w:r>
            <w:r w:rsidRPr="007F5153">
              <w:rPr>
                <w:rFonts w:ascii="Times New Roman" w:eastAsia="標楷體" w:hAnsi="Times New Roman"/>
              </w:rPr>
              <w:t>2</w:t>
            </w:r>
            <w:r w:rsidRPr="007F5153">
              <w:rPr>
                <w:rFonts w:ascii="Times New Roman" w:eastAsia="標楷體" w:hAnsi="Times New Roman" w:hint="eastAsia"/>
              </w:rPr>
              <w:t>、慢性淋巴球性白血病</w:t>
            </w:r>
            <w:r w:rsidRPr="007F5153">
              <w:rPr>
                <w:rFonts w:ascii="Times New Roman" w:eastAsia="標楷體" w:hAnsi="Times New Roman"/>
              </w:rPr>
              <w:t>(1)</w:t>
            </w:r>
            <w:r w:rsidRPr="007F5153">
              <w:rPr>
                <w:rFonts w:ascii="Times New Roman" w:eastAsia="標楷體" w:hAnsi="Times New Roman" w:hint="eastAsia"/>
              </w:rPr>
              <w:t>適用於與</w:t>
            </w:r>
            <w:r w:rsidRPr="007F5153">
              <w:rPr>
                <w:rFonts w:ascii="Times New Roman" w:eastAsia="標楷體" w:hAnsi="Times New Roman"/>
              </w:rPr>
              <w:t>fludarabine</w:t>
            </w:r>
            <w:r w:rsidRPr="007F5153">
              <w:rPr>
                <w:rFonts w:ascii="Times New Roman" w:eastAsia="標楷體" w:hAnsi="Times New Roman" w:hint="eastAsia"/>
              </w:rPr>
              <w:t>及</w:t>
            </w:r>
            <w:r w:rsidRPr="007F5153">
              <w:rPr>
                <w:rFonts w:ascii="Times New Roman" w:eastAsia="標楷體" w:hAnsi="Times New Roman"/>
              </w:rPr>
              <w:t>cyclophosphamide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用，做為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陽性慢性淋巴球性白血病</w:t>
            </w:r>
            <w:r w:rsidRPr="007F5153">
              <w:rPr>
                <w:rFonts w:ascii="Times New Roman" w:eastAsia="標楷體" w:hAnsi="Times New Roman"/>
              </w:rPr>
              <w:t>(CLL)</w:t>
            </w:r>
            <w:r w:rsidRPr="007F5153">
              <w:rPr>
                <w:rFonts w:ascii="Times New Roman" w:eastAsia="標楷體" w:hAnsi="Times New Roman" w:hint="eastAsia"/>
              </w:rPr>
              <w:t>病人的第一線用藥。</w:t>
            </w:r>
            <w:r w:rsidRPr="007F5153">
              <w:rPr>
                <w:rFonts w:ascii="Times New Roman" w:eastAsia="標楷體" w:hAnsi="Times New Roman"/>
              </w:rPr>
              <w:t>(2)</w:t>
            </w:r>
            <w:r w:rsidRPr="007F5153">
              <w:rPr>
                <w:rFonts w:ascii="Times New Roman" w:eastAsia="標楷體" w:hAnsi="Times New Roman" w:hint="eastAsia"/>
              </w:rPr>
              <w:t>適用於與化學療法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用，做為復發</w:t>
            </w:r>
            <w:r w:rsidRPr="007F5153">
              <w:rPr>
                <w:rFonts w:ascii="Times New Roman" w:eastAsia="標楷體" w:hAnsi="Times New Roman"/>
              </w:rPr>
              <w:t>/</w:t>
            </w:r>
            <w:r w:rsidRPr="007F5153">
              <w:rPr>
                <w:rFonts w:ascii="Times New Roman" w:eastAsia="標楷體" w:hAnsi="Times New Roman" w:hint="eastAsia"/>
              </w:rPr>
              <w:t>頑固性的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陽性慢性淋巴球性白血病病人的治療用藥。</w:t>
            </w:r>
            <w:r w:rsidRPr="007F5153">
              <w:rPr>
                <w:rFonts w:ascii="Times New Roman" w:eastAsia="標楷體" w:hAnsi="Times New Roman" w:hint="eastAsia"/>
              </w:rPr>
              <w:br/>
            </w:r>
            <w:r w:rsidRPr="007F5153">
              <w:rPr>
                <w:rFonts w:ascii="Times New Roman" w:eastAsia="標楷體" w:hAnsi="Times New Roman"/>
              </w:rPr>
              <w:t>3</w:t>
            </w:r>
            <w:r w:rsidRPr="007F5153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肉芽腫性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血管炎</w:t>
            </w:r>
            <w:r w:rsidRPr="007F5153">
              <w:rPr>
                <w:rFonts w:ascii="Times New Roman" w:eastAsia="標楷體" w:hAnsi="Times New Roman"/>
              </w:rPr>
              <w:t>(Granulomatosis with Polyangiitis, GPA)(Wegener’s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肉芽腫症</w:t>
            </w:r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及顯微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多發性血管炎</w:t>
            </w:r>
            <w:r w:rsidRPr="007F5153">
              <w:rPr>
                <w:rFonts w:ascii="Times New Roman" w:eastAsia="標楷體" w:hAnsi="Times New Roman"/>
              </w:rPr>
              <w:t>(Microscopic Polyangiitis, MPA)</w:t>
            </w:r>
            <w:r w:rsidRPr="007F5153">
              <w:rPr>
                <w:rFonts w:ascii="Times New Roman" w:eastAsia="標楷體" w:hAnsi="Times New Roman" w:hint="eastAsia"/>
              </w:rPr>
              <w:t>：與葡萄糖皮質素</w:t>
            </w:r>
            <w:r w:rsidRPr="007F5153">
              <w:rPr>
                <w:rFonts w:ascii="Times New Roman" w:eastAsia="標楷體" w:hAnsi="Times New Roman"/>
              </w:rPr>
              <w:t>(glucocorticoids)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用，適用於治療成人之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性血管炎</w:t>
            </w:r>
            <w:r w:rsidRPr="007F5153">
              <w:rPr>
                <w:rFonts w:ascii="Times New Roman" w:eastAsia="標楷體" w:hAnsi="Times New Roman"/>
              </w:rPr>
              <w:t>(GPA</w:t>
            </w:r>
            <w:r w:rsidRPr="007F5153">
              <w:rPr>
                <w:rFonts w:ascii="Times New Roman" w:eastAsia="標楷體" w:hAnsi="Times New Roman" w:hint="eastAsia"/>
              </w:rPr>
              <w:t>，亦稱為韋格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納肉芽腫症</w:t>
            </w:r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及顯微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多發性血管炎</w:t>
            </w:r>
            <w:r w:rsidRPr="007F5153">
              <w:rPr>
                <w:rFonts w:ascii="Times New Roman" w:eastAsia="標楷體" w:hAnsi="Times New Roman"/>
              </w:rPr>
              <w:t>(MPA)</w:t>
            </w:r>
            <w:r w:rsidRPr="007F5153">
              <w:rPr>
                <w:rFonts w:ascii="Times New Roman" w:eastAsia="標楷體" w:hAnsi="Times New Roman" w:hint="eastAsia"/>
              </w:rPr>
              <w:t>。</w:t>
            </w:r>
            <w:r w:rsidRPr="007F5153">
              <w:rPr>
                <w:rFonts w:ascii="Times New Roman" w:eastAsia="標楷體" w:hAnsi="Times New Roman" w:hint="eastAsia"/>
              </w:rPr>
              <w:br/>
            </w:r>
            <w:r w:rsidRPr="007F5153">
              <w:rPr>
                <w:rFonts w:ascii="Times New Roman" w:eastAsia="標楷體" w:hAnsi="Times New Roman"/>
              </w:rPr>
              <w:t>4.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尋常性天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疱瘡</w:t>
            </w:r>
            <w:r w:rsidRPr="007F5153">
              <w:rPr>
                <w:rFonts w:ascii="Times New Roman" w:eastAsia="標楷體" w:hAnsi="Times New Roman"/>
              </w:rPr>
              <w:t>(Pemphigus Vulgaris, PV)</w:t>
            </w:r>
            <w:r w:rsidRPr="007F5153">
              <w:rPr>
                <w:rFonts w:ascii="Times New Roman" w:eastAsia="標楷體" w:hAnsi="Times New Roman" w:hint="eastAsia"/>
              </w:rPr>
              <w:t>：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本品與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葡萄糖皮質素</w:t>
            </w:r>
            <w:r w:rsidRPr="007F5153">
              <w:rPr>
                <w:rFonts w:ascii="Times New Roman" w:eastAsia="標楷體" w:hAnsi="Times New Roman"/>
              </w:rPr>
              <w:t>(glucocorticoids)</w:t>
            </w:r>
            <w:r w:rsidRPr="007F5153">
              <w:rPr>
                <w:rFonts w:ascii="Times New Roman" w:eastAsia="標楷體" w:hAnsi="Times New Roman" w:hint="eastAsia"/>
              </w:rPr>
              <w:t>併用，適用於治療中度至重度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尋常性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天疱瘡</w:t>
            </w:r>
            <w:r w:rsidRPr="007F5153">
              <w:rPr>
                <w:rFonts w:ascii="Times New Roman" w:eastAsia="標楷體" w:hAnsi="Times New Roman"/>
              </w:rPr>
              <w:t>(PV)</w:t>
            </w:r>
            <w:r w:rsidRPr="007F5153">
              <w:rPr>
                <w:rFonts w:ascii="Times New Roman" w:eastAsia="標楷體" w:hAnsi="Times New Roman" w:hint="eastAsia"/>
              </w:rPr>
              <w:t>的成人病人。</w:t>
            </w:r>
          </w:p>
        </w:tc>
      </w:tr>
      <w:tr w:rsidR="007F5153" w:rsidRPr="007F5153" w14:paraId="27EFBA55" w14:textId="77777777" w:rsidTr="00E04447">
        <w:trPr>
          <w:trHeight w:val="4523"/>
          <w:jc w:val="center"/>
        </w:trPr>
        <w:tc>
          <w:tcPr>
            <w:tcW w:w="960" w:type="dxa"/>
            <w:noWrap/>
            <w:vAlign w:val="center"/>
            <w:hideMark/>
          </w:tcPr>
          <w:p w14:paraId="08180C3F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/>
              </w:rPr>
              <w:lastRenderedPageBreak/>
              <w:t>5</w:t>
            </w:r>
          </w:p>
        </w:tc>
        <w:tc>
          <w:tcPr>
            <w:tcW w:w="1466" w:type="dxa"/>
            <w:vAlign w:val="center"/>
            <w:hideMark/>
          </w:tcPr>
          <w:p w14:paraId="1D9A7760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衛部菌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疫輸字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第</w:t>
            </w:r>
            <w:r w:rsidRPr="007F5153">
              <w:rPr>
                <w:rFonts w:ascii="Times New Roman" w:eastAsia="標楷體" w:hAnsi="Times New Roman"/>
              </w:rPr>
              <w:t>001165</w:t>
            </w:r>
            <w:r w:rsidRPr="007F5153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1089" w:type="dxa"/>
            <w:vAlign w:val="center"/>
            <w:hideMark/>
          </w:tcPr>
          <w:p w14:paraId="49E250FA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7F5153">
              <w:rPr>
                <w:rFonts w:ascii="Times New Roman" w:eastAsia="標楷體" w:hAnsi="Times New Roman" w:hint="eastAsia"/>
              </w:rPr>
              <w:t>瘤恩斯</w:t>
            </w:r>
            <w:proofErr w:type="gramEnd"/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 w:hint="eastAsia"/>
              </w:rPr>
              <w:t>注射劑</w:t>
            </w:r>
          </w:p>
        </w:tc>
        <w:tc>
          <w:tcPr>
            <w:tcW w:w="1657" w:type="dxa"/>
            <w:vAlign w:val="center"/>
            <w:hideMark/>
          </w:tcPr>
          <w:p w14:paraId="0A495C04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7F5153">
              <w:rPr>
                <w:rFonts w:ascii="Times New Roman" w:eastAsia="標楷體" w:hAnsi="Times New Roman"/>
              </w:rPr>
              <w:t>Ruxience</w:t>
            </w:r>
            <w:proofErr w:type="spellEnd"/>
            <w:r w:rsidRPr="007F5153">
              <w:rPr>
                <w:rFonts w:ascii="Times New Roman" w:eastAsia="標楷體" w:hAnsi="Times New Roman"/>
              </w:rPr>
              <w:t xml:space="preserve"> injection</w:t>
            </w:r>
          </w:p>
        </w:tc>
        <w:tc>
          <w:tcPr>
            <w:tcW w:w="1445" w:type="dxa"/>
            <w:vAlign w:val="center"/>
            <w:hideMark/>
          </w:tcPr>
          <w:p w14:paraId="3B5BCD16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美商惠氏藥廠（亞洲）股份有限公司台灣分公司</w:t>
            </w:r>
          </w:p>
        </w:tc>
        <w:tc>
          <w:tcPr>
            <w:tcW w:w="7495" w:type="dxa"/>
            <w:vAlign w:val="center"/>
            <w:hideMark/>
          </w:tcPr>
          <w:p w14:paraId="4BD79158" w14:textId="77777777" w:rsidR="007F5153" w:rsidRPr="007F5153" w:rsidRDefault="007F5153" w:rsidP="00BF0D5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非何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杰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金氏淋巴瘤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 w:type="page"/>
              <w:t xml:space="preserve">- </w:t>
            </w:r>
            <w:r w:rsidRPr="007F5153">
              <w:rPr>
                <w:rFonts w:ascii="Times New Roman" w:eastAsia="標楷體" w:hAnsi="Times New Roman" w:hint="eastAsia"/>
              </w:rPr>
              <w:t>用於復發或對化學療法有抗性之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低惡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度</w:t>
            </w:r>
            <w:r w:rsidRPr="007F5153">
              <w:rPr>
                <w:rFonts w:ascii="Times New Roman" w:eastAsia="標楷體" w:hAnsi="Times New Roman"/>
              </w:rPr>
              <w:t xml:space="preserve"> B-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細胞非何杰金氏淋巴瘤。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 w:type="page"/>
              <w:t xml:space="preserve">- 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CVP</w:t>
            </w:r>
            <w:r w:rsidRPr="007F5153">
              <w:rPr>
                <w:rFonts w:ascii="Times New Roman" w:eastAsia="標楷體" w:hAnsi="Times New Roman" w:hint="eastAsia"/>
              </w:rPr>
              <w:t>化學療法用於未經治療之和緩性（組織型態為濾泡型）</w:t>
            </w:r>
            <w:r w:rsidRPr="007F5153">
              <w:rPr>
                <w:rFonts w:ascii="Times New Roman" w:eastAsia="標楷體" w:hAnsi="Times New Roman"/>
              </w:rPr>
              <w:t>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細胞非何杰金氏淋巴瘤的病人。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 w:type="page"/>
              <w:t xml:space="preserve">- 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CHOP</w:t>
            </w:r>
            <w:r w:rsidRPr="007F5153">
              <w:rPr>
                <w:rFonts w:ascii="Times New Roman" w:eastAsia="標楷體" w:hAnsi="Times New Roman" w:hint="eastAsia"/>
              </w:rPr>
              <w:t>或其他化學療法用於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抗原陽性之瀰漫性大型</w:t>
            </w:r>
            <w:r w:rsidRPr="007F5153">
              <w:rPr>
                <w:rFonts w:ascii="Times New Roman" w:eastAsia="標楷體" w:hAnsi="Times New Roman"/>
              </w:rPr>
              <w:t>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 xml:space="preserve">- </w:t>
            </w:r>
            <w:r w:rsidRPr="007F5153">
              <w:rPr>
                <w:rFonts w:ascii="Times New Roman" w:eastAsia="標楷體" w:hAnsi="Times New Roman" w:hint="eastAsia"/>
              </w:rPr>
              <w:t>用於做為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濾泡性淋巴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瘤病人對誘導療法產生反應之後的維持治療用藥。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t>類風濕性關節炎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 w:type="page"/>
              <w:t>-</w:t>
            </w:r>
            <w:r w:rsidRPr="007F5153">
              <w:rPr>
                <w:rFonts w:ascii="Times New Roman" w:eastAsia="標楷體" w:hAnsi="Times New Roman" w:hint="eastAsia"/>
              </w:rPr>
              <w:t>與</w:t>
            </w:r>
            <w:r w:rsidRPr="007F5153">
              <w:rPr>
                <w:rFonts w:ascii="Times New Roman" w:eastAsia="標楷體" w:hAnsi="Times New Roman"/>
              </w:rPr>
              <w:t>methotrexate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用，適用於治療曾接受一種（含）以上之腫瘤壞死因子</w:t>
            </w:r>
            <w:r w:rsidRPr="007F5153">
              <w:rPr>
                <w:rFonts w:ascii="Times New Roman" w:eastAsia="標楷體" w:hAnsi="Times New Roman"/>
              </w:rPr>
              <w:t>(TNF)</w:t>
            </w:r>
            <w:r w:rsidRPr="007F5153">
              <w:rPr>
                <w:rFonts w:ascii="Times New Roman" w:eastAsia="標楷體" w:hAnsi="Times New Roman" w:hint="eastAsia"/>
              </w:rPr>
              <w:t>抑制療法治療但效果不彰，或無法耐受的活動性類風濕性關節炎成人病人。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 w:type="page"/>
              <w:t>-</w:t>
            </w:r>
            <w:r w:rsidRPr="007F5153">
              <w:rPr>
                <w:rFonts w:ascii="Times New Roman" w:eastAsia="標楷體" w:hAnsi="Times New Roman" w:hint="eastAsia"/>
              </w:rPr>
              <w:t>與</w:t>
            </w:r>
            <w:r w:rsidRPr="007F5153">
              <w:rPr>
                <w:rFonts w:ascii="Times New Roman" w:eastAsia="標楷體" w:hAnsi="Times New Roman"/>
              </w:rPr>
              <w:t>methotrexate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用，經</w:t>
            </w:r>
            <w:r w:rsidRPr="007F5153">
              <w:rPr>
                <w:rFonts w:ascii="Times New Roman" w:eastAsia="標楷體" w:hAnsi="Times New Roman"/>
              </w:rPr>
              <w:t>X</w:t>
            </w:r>
            <w:r w:rsidRPr="007F5153">
              <w:rPr>
                <w:rFonts w:ascii="Times New Roman" w:eastAsia="標楷體" w:hAnsi="Times New Roman" w:hint="eastAsia"/>
              </w:rPr>
              <w:t>光檢查已證實可減緩關節結構受損的進展。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t>慢性淋巴球性白血病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 w:type="page"/>
              <w:t>-</w:t>
            </w:r>
            <w:r w:rsidRPr="007F5153">
              <w:rPr>
                <w:rFonts w:ascii="Times New Roman" w:eastAsia="標楷體" w:hAnsi="Times New Roman" w:hint="eastAsia"/>
              </w:rPr>
              <w:t>適用於與</w:t>
            </w:r>
            <w:r w:rsidRPr="007F5153">
              <w:rPr>
                <w:rFonts w:ascii="Times New Roman" w:eastAsia="標楷體" w:hAnsi="Times New Roman"/>
              </w:rPr>
              <w:t>fludarabine</w:t>
            </w:r>
            <w:r w:rsidRPr="007F5153">
              <w:rPr>
                <w:rFonts w:ascii="Times New Roman" w:eastAsia="標楷體" w:hAnsi="Times New Roman" w:hint="eastAsia"/>
              </w:rPr>
              <w:t>及</w:t>
            </w:r>
            <w:r w:rsidRPr="007F5153">
              <w:rPr>
                <w:rFonts w:ascii="Times New Roman" w:eastAsia="標楷體" w:hAnsi="Times New Roman"/>
              </w:rPr>
              <w:t>cyclophosphamide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用，做為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陽性慢性淋巴球性白血病</w:t>
            </w:r>
            <w:r w:rsidRPr="007F5153">
              <w:rPr>
                <w:rFonts w:ascii="Times New Roman" w:eastAsia="標楷體" w:hAnsi="Times New Roman"/>
              </w:rPr>
              <w:t xml:space="preserve">(CLL) </w:t>
            </w:r>
            <w:r w:rsidRPr="007F5153">
              <w:rPr>
                <w:rFonts w:ascii="Times New Roman" w:eastAsia="標楷體" w:hAnsi="Times New Roman" w:hint="eastAsia"/>
              </w:rPr>
              <w:t>病人的第一線用藥。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 w:type="page"/>
              <w:t>-</w:t>
            </w:r>
            <w:r w:rsidRPr="007F5153">
              <w:rPr>
                <w:rFonts w:ascii="Times New Roman" w:eastAsia="標楷體" w:hAnsi="Times New Roman" w:hint="eastAsia"/>
              </w:rPr>
              <w:t>適用於與化學療法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用，做為復發</w:t>
            </w:r>
            <w:r w:rsidRPr="007F5153">
              <w:rPr>
                <w:rFonts w:ascii="Times New Roman" w:eastAsia="標楷體" w:hAnsi="Times New Roman"/>
              </w:rPr>
              <w:t>/</w:t>
            </w:r>
            <w:r w:rsidRPr="007F5153">
              <w:rPr>
                <w:rFonts w:ascii="Times New Roman" w:eastAsia="標楷體" w:hAnsi="Times New Roman" w:hint="eastAsia"/>
              </w:rPr>
              <w:t>頑固性的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陽性慢性淋巴球性白血病病患的治療用藥。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 w:type="page"/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肉芽腫性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血管炎</w:t>
            </w:r>
            <w:r w:rsidRPr="007F5153">
              <w:rPr>
                <w:rFonts w:ascii="Times New Roman" w:eastAsia="標楷體" w:hAnsi="Times New Roman"/>
              </w:rPr>
              <w:t xml:space="preserve">(Granulomatosis with Polyangiitis, GPA)(Wegener’s 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肉芽腫症</w:t>
            </w:r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及顯微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多發性血管炎</w:t>
            </w:r>
            <w:r w:rsidRPr="007F5153">
              <w:rPr>
                <w:rFonts w:ascii="Times New Roman" w:eastAsia="標楷體" w:hAnsi="Times New Roman"/>
              </w:rPr>
              <w:t xml:space="preserve">(Microscopic Polyangiitis, MPA) </w:t>
            </w:r>
            <w:r w:rsidRPr="007F5153">
              <w:rPr>
                <w:rFonts w:ascii="Times New Roman" w:eastAsia="標楷體" w:hAnsi="Times New Roman"/>
              </w:rPr>
              <w:br w:type="page"/>
              <w:t>-</w:t>
            </w:r>
            <w:r w:rsidRPr="007F5153">
              <w:rPr>
                <w:rFonts w:ascii="Times New Roman" w:eastAsia="標楷體" w:hAnsi="Times New Roman" w:hint="eastAsia"/>
              </w:rPr>
              <w:t>與葡萄糖皮質素</w:t>
            </w:r>
            <w:r w:rsidRPr="007F5153">
              <w:rPr>
                <w:rFonts w:ascii="Times New Roman" w:eastAsia="標楷體" w:hAnsi="Times New Roman"/>
              </w:rPr>
              <w:t>(glucocorticoids)</w:t>
            </w:r>
            <w:r w:rsidRPr="007F5153">
              <w:rPr>
                <w:rFonts w:ascii="Times New Roman" w:eastAsia="標楷體" w:hAnsi="Times New Roman" w:hint="eastAsia"/>
              </w:rPr>
              <w:t>併用，適用於治療成人之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性血管炎</w:t>
            </w:r>
            <w:r w:rsidRPr="007F5153">
              <w:rPr>
                <w:rFonts w:ascii="Times New Roman" w:eastAsia="標楷體" w:hAnsi="Times New Roman"/>
              </w:rPr>
              <w:t>(GPA</w:t>
            </w:r>
            <w:r w:rsidRPr="007F5153">
              <w:rPr>
                <w:rFonts w:ascii="Times New Roman" w:eastAsia="標楷體" w:hAnsi="Times New Roman" w:hint="eastAsia"/>
              </w:rPr>
              <w:t>，亦稱為韋格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納肉芽腫症</w:t>
            </w:r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及顯微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多發性血管炎</w:t>
            </w:r>
            <w:r w:rsidRPr="007F5153">
              <w:rPr>
                <w:rFonts w:ascii="Times New Roman" w:eastAsia="標楷體" w:hAnsi="Times New Roman"/>
              </w:rPr>
              <w:t>(MPA)</w:t>
            </w:r>
            <w:r w:rsidRPr="007F5153">
              <w:rPr>
                <w:rFonts w:ascii="Times New Roman" w:eastAsia="標楷體" w:hAnsi="Times New Roman" w:hint="eastAsia"/>
              </w:rPr>
              <w:t>。</w:t>
            </w:r>
            <w:r w:rsidRPr="007F5153">
              <w:rPr>
                <w:rFonts w:ascii="Times New Roman" w:eastAsia="標楷體" w:hAnsi="Times New Roman"/>
              </w:rPr>
              <w:t xml:space="preserve"> </w:t>
            </w:r>
            <w:r w:rsidRPr="007F5153">
              <w:rPr>
                <w:rFonts w:ascii="Times New Roman" w:eastAsia="標楷體" w:hAnsi="Times New Roman"/>
              </w:rPr>
              <w:br w:type="page"/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尋常性天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疱瘡</w:t>
            </w:r>
            <w:r w:rsidRPr="007F5153">
              <w:rPr>
                <w:rFonts w:ascii="Times New Roman" w:eastAsia="標楷體" w:hAnsi="Times New Roman"/>
              </w:rPr>
              <w:t xml:space="preserve">(Pemphigus Vulgaris, PV) </w:t>
            </w:r>
            <w:r w:rsidRPr="007F5153">
              <w:rPr>
                <w:rFonts w:ascii="Times New Roman" w:eastAsia="標楷體" w:hAnsi="Times New Roman"/>
              </w:rPr>
              <w:br w:type="page"/>
              <w:t>-</w:t>
            </w:r>
            <w:r w:rsidRPr="007F5153">
              <w:rPr>
                <w:rFonts w:ascii="Times New Roman" w:eastAsia="標楷體" w:hAnsi="Times New Roman" w:hint="eastAsia"/>
              </w:rPr>
              <w:t>與葡萄醣皮質素</w:t>
            </w:r>
            <w:r w:rsidRPr="007F5153">
              <w:rPr>
                <w:rFonts w:ascii="Times New Roman" w:eastAsia="標楷體" w:hAnsi="Times New Roman"/>
              </w:rPr>
              <w:t>(glucocorticoids)</w:t>
            </w:r>
            <w:r w:rsidRPr="007F5153">
              <w:rPr>
                <w:rFonts w:ascii="Times New Roman" w:eastAsia="標楷體" w:hAnsi="Times New Roman" w:hint="eastAsia"/>
              </w:rPr>
              <w:t>併用，適用於治療中度至重度尋常性天疱瘡</w:t>
            </w:r>
            <w:r w:rsidRPr="007F5153">
              <w:rPr>
                <w:rFonts w:ascii="Times New Roman" w:eastAsia="標楷體" w:hAnsi="Times New Roman"/>
              </w:rPr>
              <w:t>(PV)</w:t>
            </w:r>
            <w:r w:rsidRPr="007F5153">
              <w:rPr>
                <w:rFonts w:ascii="Times New Roman" w:eastAsia="標楷體" w:hAnsi="Times New Roman" w:hint="eastAsia"/>
              </w:rPr>
              <w:t>的成人病人。</w:t>
            </w:r>
          </w:p>
        </w:tc>
      </w:tr>
      <w:tr w:rsidR="007F5153" w:rsidRPr="007F5153" w14:paraId="7064CCC5" w14:textId="77777777" w:rsidTr="00E04447">
        <w:trPr>
          <w:trHeight w:val="4807"/>
          <w:jc w:val="center"/>
        </w:trPr>
        <w:tc>
          <w:tcPr>
            <w:tcW w:w="960" w:type="dxa"/>
            <w:noWrap/>
            <w:vAlign w:val="center"/>
            <w:hideMark/>
          </w:tcPr>
          <w:p w14:paraId="32CC0ECB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466" w:type="dxa"/>
            <w:vAlign w:val="center"/>
            <w:hideMark/>
          </w:tcPr>
          <w:p w14:paraId="59605943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衛部菌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疫輸字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第</w:t>
            </w:r>
            <w:r w:rsidRPr="007F5153">
              <w:rPr>
                <w:rFonts w:ascii="Times New Roman" w:eastAsia="標楷體" w:hAnsi="Times New Roman"/>
              </w:rPr>
              <w:t>001195</w:t>
            </w:r>
            <w:r w:rsidRPr="007F5153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1089" w:type="dxa"/>
            <w:vAlign w:val="center"/>
            <w:hideMark/>
          </w:tcPr>
          <w:p w14:paraId="604D3F2C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7F5153">
              <w:rPr>
                <w:rFonts w:ascii="Times New Roman" w:eastAsia="標楷體" w:hAnsi="Times New Roman" w:hint="eastAsia"/>
              </w:rPr>
              <w:t>銳靶安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注射液</w:t>
            </w:r>
          </w:p>
        </w:tc>
        <w:tc>
          <w:tcPr>
            <w:tcW w:w="1657" w:type="dxa"/>
            <w:vAlign w:val="center"/>
            <w:hideMark/>
          </w:tcPr>
          <w:p w14:paraId="0E7D610A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/>
              </w:rPr>
              <w:t>RIABNI Concentrate for Solution for infusion</w:t>
            </w:r>
          </w:p>
        </w:tc>
        <w:tc>
          <w:tcPr>
            <w:tcW w:w="1445" w:type="dxa"/>
            <w:vAlign w:val="center"/>
            <w:hideMark/>
          </w:tcPr>
          <w:p w14:paraId="7B007F3E" w14:textId="77777777" w:rsidR="007F5153" w:rsidRPr="007F5153" w:rsidRDefault="007F5153" w:rsidP="00BF0D5A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台灣安進藥品有限公司</w:t>
            </w:r>
          </w:p>
        </w:tc>
        <w:tc>
          <w:tcPr>
            <w:tcW w:w="7495" w:type="dxa"/>
            <w:vAlign w:val="center"/>
            <w:hideMark/>
          </w:tcPr>
          <w:p w14:paraId="5D1E59B8" w14:textId="77777777" w:rsidR="007F5153" w:rsidRPr="007F5153" w:rsidRDefault="007F5153" w:rsidP="00BF0D5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7F5153">
              <w:rPr>
                <w:rFonts w:ascii="Times New Roman" w:eastAsia="標楷體" w:hAnsi="Times New Roman" w:hint="eastAsia"/>
              </w:rPr>
              <w:t>非何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杰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金氏淋巴瘤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 xml:space="preserve">- </w:t>
            </w:r>
            <w:r w:rsidRPr="007F5153">
              <w:rPr>
                <w:rFonts w:ascii="Times New Roman" w:eastAsia="標楷體" w:hAnsi="Times New Roman" w:hint="eastAsia"/>
              </w:rPr>
              <w:t>用於復發或對化學療法有抗性之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低惡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度</w:t>
            </w:r>
            <w:r w:rsidRPr="007F5153">
              <w:rPr>
                <w:rFonts w:ascii="Times New Roman" w:eastAsia="標楷體" w:hAnsi="Times New Roman"/>
              </w:rPr>
              <w:t>B-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細胞非何杰金氏淋巴瘤的成人病人。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 xml:space="preserve">- 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CVP</w:t>
            </w:r>
            <w:r w:rsidRPr="007F5153">
              <w:rPr>
                <w:rFonts w:ascii="Times New Roman" w:eastAsia="標楷體" w:hAnsi="Times New Roman" w:hint="eastAsia"/>
              </w:rPr>
              <w:t>化學療法用於未經治療之和緩性</w:t>
            </w:r>
            <w:r w:rsidRPr="007F5153">
              <w:rPr>
                <w:rFonts w:ascii="Times New Roman" w:eastAsia="標楷體" w:hAnsi="Times New Roman"/>
              </w:rPr>
              <w:t>(</w:t>
            </w:r>
            <w:r w:rsidRPr="007F5153">
              <w:rPr>
                <w:rFonts w:ascii="Times New Roman" w:eastAsia="標楷體" w:hAnsi="Times New Roman" w:hint="eastAsia"/>
              </w:rPr>
              <w:t>組織型態為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濾泡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型</w:t>
            </w:r>
            <w:r w:rsidRPr="007F5153">
              <w:rPr>
                <w:rFonts w:ascii="Times New Roman" w:eastAsia="標楷體" w:hAnsi="Times New Roman"/>
              </w:rPr>
              <w:t>)B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細胞非何杰金氏淋巴瘤的成人病人。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 xml:space="preserve">- 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</w:t>
            </w:r>
            <w:r w:rsidRPr="007F5153">
              <w:rPr>
                <w:rFonts w:ascii="Times New Roman" w:eastAsia="標楷體" w:hAnsi="Times New Roman"/>
              </w:rPr>
              <w:t>CHOP</w:t>
            </w:r>
            <w:r w:rsidRPr="007F5153">
              <w:rPr>
                <w:rFonts w:ascii="Times New Roman" w:eastAsia="標楷體" w:hAnsi="Times New Roman" w:hint="eastAsia"/>
              </w:rPr>
              <w:t>或其他化學療法用於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抗原陽性之瀰漫性大型</w:t>
            </w:r>
            <w:r w:rsidRPr="007F5153">
              <w:rPr>
                <w:rFonts w:ascii="Times New Roman" w:eastAsia="標楷體" w:hAnsi="Times New Roman"/>
              </w:rPr>
              <w:t>B</w:t>
            </w:r>
            <w:r w:rsidRPr="007F5153">
              <w:rPr>
                <w:rFonts w:ascii="Times New Roman" w:eastAsia="標楷體" w:hAnsi="Times New Roman" w:hint="eastAsia"/>
              </w:rPr>
              <w:t>細胞非何杰金氏淋巴瘤的成人病人。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 xml:space="preserve">- </w:t>
            </w:r>
            <w:r w:rsidRPr="007F5153">
              <w:rPr>
                <w:rFonts w:ascii="Times New Roman" w:eastAsia="標楷體" w:hAnsi="Times New Roman" w:hint="eastAsia"/>
              </w:rPr>
              <w:t>用於做為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濾泡性淋巴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瘤成人病人對誘導療法產生反應之後的維持治療用藥。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t>類風濕性關節炎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-</w:t>
            </w:r>
            <w:r w:rsidRPr="007F5153">
              <w:rPr>
                <w:rFonts w:ascii="Times New Roman" w:eastAsia="標楷體" w:hAnsi="Times New Roman" w:hint="eastAsia"/>
              </w:rPr>
              <w:t>與</w:t>
            </w:r>
            <w:r w:rsidRPr="007F5153">
              <w:rPr>
                <w:rFonts w:ascii="Times New Roman" w:eastAsia="標楷體" w:hAnsi="Times New Roman"/>
              </w:rPr>
              <w:t>methotrexate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用，適用於治療曾接受一種</w:t>
            </w:r>
            <w:r w:rsidRPr="007F5153">
              <w:rPr>
                <w:rFonts w:ascii="Times New Roman" w:eastAsia="標楷體" w:hAnsi="Times New Roman"/>
              </w:rPr>
              <w:t>(</w:t>
            </w:r>
            <w:r w:rsidRPr="007F5153">
              <w:rPr>
                <w:rFonts w:ascii="Times New Roman" w:eastAsia="標楷體" w:hAnsi="Times New Roman" w:hint="eastAsia"/>
              </w:rPr>
              <w:t>含</w:t>
            </w:r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以上之腫瘤壞死因子</w:t>
            </w:r>
            <w:r w:rsidRPr="007F5153">
              <w:rPr>
                <w:rFonts w:ascii="Times New Roman" w:eastAsia="標楷體" w:hAnsi="Times New Roman"/>
              </w:rPr>
              <w:t>(TNF)</w:t>
            </w:r>
            <w:r w:rsidRPr="007F5153">
              <w:rPr>
                <w:rFonts w:ascii="Times New Roman" w:eastAsia="標楷體" w:hAnsi="Times New Roman" w:hint="eastAsia"/>
              </w:rPr>
              <w:t>抑制療法治療但效果不彰，或無法耐受的活動性類風濕性關節炎成人病人。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-</w:t>
            </w:r>
            <w:r w:rsidRPr="007F5153">
              <w:rPr>
                <w:rFonts w:ascii="Times New Roman" w:eastAsia="標楷體" w:hAnsi="Times New Roman" w:hint="eastAsia"/>
              </w:rPr>
              <w:t>與</w:t>
            </w:r>
            <w:r w:rsidRPr="007F5153">
              <w:rPr>
                <w:rFonts w:ascii="Times New Roman" w:eastAsia="標楷體" w:hAnsi="Times New Roman"/>
              </w:rPr>
              <w:t>methotrexate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用，經</w:t>
            </w:r>
            <w:r w:rsidRPr="007F5153">
              <w:rPr>
                <w:rFonts w:ascii="Times New Roman" w:eastAsia="標楷體" w:hAnsi="Times New Roman"/>
              </w:rPr>
              <w:t>X</w:t>
            </w:r>
            <w:r w:rsidRPr="007F5153">
              <w:rPr>
                <w:rFonts w:ascii="Times New Roman" w:eastAsia="標楷體" w:hAnsi="Times New Roman" w:hint="eastAsia"/>
              </w:rPr>
              <w:t>光檢查已證實可減緩關節結構受損的進展。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 w:hint="eastAsia"/>
              </w:rPr>
              <w:t>慢性淋巴球性白血病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-</w:t>
            </w:r>
            <w:r w:rsidRPr="007F5153">
              <w:rPr>
                <w:rFonts w:ascii="Times New Roman" w:eastAsia="標楷體" w:hAnsi="Times New Roman" w:hint="eastAsia"/>
              </w:rPr>
              <w:t>適用於與</w:t>
            </w:r>
            <w:r w:rsidRPr="007F5153">
              <w:rPr>
                <w:rFonts w:ascii="Times New Roman" w:eastAsia="標楷體" w:hAnsi="Times New Roman"/>
              </w:rPr>
              <w:t>fludarabine</w:t>
            </w:r>
            <w:r w:rsidRPr="007F5153">
              <w:rPr>
                <w:rFonts w:ascii="Times New Roman" w:eastAsia="標楷體" w:hAnsi="Times New Roman" w:hint="eastAsia"/>
              </w:rPr>
              <w:t>及</w:t>
            </w:r>
            <w:r w:rsidRPr="007F5153">
              <w:rPr>
                <w:rFonts w:ascii="Times New Roman" w:eastAsia="標楷體" w:hAnsi="Times New Roman"/>
              </w:rPr>
              <w:t>cyclophosphamide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用，做為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陽性慢性淋巴球性白血病</w:t>
            </w:r>
            <w:r w:rsidRPr="007F5153">
              <w:rPr>
                <w:rFonts w:ascii="Times New Roman" w:eastAsia="標楷體" w:hAnsi="Times New Roman"/>
              </w:rPr>
              <w:t>(CLL)</w:t>
            </w:r>
            <w:r w:rsidRPr="007F5153">
              <w:rPr>
                <w:rFonts w:ascii="Times New Roman" w:eastAsia="標楷體" w:hAnsi="Times New Roman" w:hint="eastAsia"/>
              </w:rPr>
              <w:t>病人的第一線用藥。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r w:rsidRPr="007F5153">
              <w:rPr>
                <w:rFonts w:ascii="Times New Roman" w:eastAsia="標楷體" w:hAnsi="Times New Roman"/>
              </w:rPr>
              <w:t>-</w:t>
            </w:r>
            <w:r w:rsidRPr="007F5153">
              <w:rPr>
                <w:rFonts w:ascii="Times New Roman" w:eastAsia="標楷體" w:hAnsi="Times New Roman" w:hint="eastAsia"/>
              </w:rPr>
              <w:t>適用於與化學療法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併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用，做為復發</w:t>
            </w:r>
            <w:r w:rsidRPr="007F5153">
              <w:rPr>
                <w:rFonts w:ascii="Times New Roman" w:eastAsia="標楷體" w:hAnsi="Times New Roman"/>
              </w:rPr>
              <w:t>/</w:t>
            </w:r>
            <w:r w:rsidRPr="007F5153">
              <w:rPr>
                <w:rFonts w:ascii="Times New Roman" w:eastAsia="標楷體" w:hAnsi="Times New Roman" w:hint="eastAsia"/>
              </w:rPr>
              <w:t>頑固性的</w:t>
            </w:r>
            <w:r w:rsidRPr="007F5153">
              <w:rPr>
                <w:rFonts w:ascii="Times New Roman" w:eastAsia="標楷體" w:hAnsi="Times New Roman"/>
              </w:rPr>
              <w:t>CD20</w:t>
            </w:r>
            <w:r w:rsidRPr="007F5153">
              <w:rPr>
                <w:rFonts w:ascii="Times New Roman" w:eastAsia="標楷體" w:hAnsi="Times New Roman" w:hint="eastAsia"/>
              </w:rPr>
              <w:t>陽性慢性淋巴球性白血病病人的治療用藥。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肉芽腫性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血管炎</w:t>
            </w:r>
            <w:r w:rsidRPr="007F5153">
              <w:rPr>
                <w:rFonts w:ascii="Times New Roman" w:eastAsia="標楷體" w:hAnsi="Times New Roman"/>
              </w:rPr>
              <w:t xml:space="preserve">(Granulomatosis with Polyangiitis, GPA)(Wegener’s 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肉芽腫症</w:t>
            </w:r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及顯微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多發性血管炎</w:t>
            </w:r>
            <w:r w:rsidRPr="007F5153">
              <w:rPr>
                <w:rFonts w:ascii="Times New Roman" w:eastAsia="標楷體" w:hAnsi="Times New Roman"/>
              </w:rPr>
              <w:t>(Microscopic Polyangiitis, MPA)</w:t>
            </w:r>
            <w:r w:rsidRPr="007F5153">
              <w:rPr>
                <w:rFonts w:ascii="Times New Roman" w:eastAsia="標楷體" w:hAnsi="Times New Roman"/>
              </w:rPr>
              <w:br w:type="page"/>
              <w:t>-</w:t>
            </w:r>
            <w:r w:rsidRPr="007F5153">
              <w:rPr>
                <w:rFonts w:ascii="Times New Roman" w:eastAsia="標楷體" w:hAnsi="Times New Roman" w:hint="eastAsia"/>
              </w:rPr>
              <w:t>與葡萄糖皮質素</w:t>
            </w:r>
            <w:r w:rsidRPr="007F5153">
              <w:rPr>
                <w:rFonts w:ascii="Times New Roman" w:eastAsia="標楷體" w:hAnsi="Times New Roman"/>
              </w:rPr>
              <w:t>(glucocorticoids)</w:t>
            </w:r>
            <w:r w:rsidRPr="007F5153">
              <w:rPr>
                <w:rFonts w:ascii="Times New Roman" w:eastAsia="標楷體" w:hAnsi="Times New Roman" w:hint="eastAsia"/>
              </w:rPr>
              <w:t>併用，適用於治療成人之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肉芽腫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性血管炎</w:t>
            </w:r>
            <w:r w:rsidRPr="007F5153">
              <w:rPr>
                <w:rFonts w:ascii="Times New Roman" w:eastAsia="標楷體" w:hAnsi="Times New Roman"/>
              </w:rPr>
              <w:t>(GPA</w:t>
            </w:r>
            <w:r w:rsidRPr="007F5153">
              <w:rPr>
                <w:rFonts w:ascii="Times New Roman" w:eastAsia="標楷體" w:hAnsi="Times New Roman" w:hint="eastAsia"/>
              </w:rPr>
              <w:t>，亦稱為韋格</w:t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納肉芽腫症</w:t>
            </w:r>
            <w:r w:rsidRPr="007F5153">
              <w:rPr>
                <w:rFonts w:ascii="Times New Roman" w:eastAsia="標楷體" w:hAnsi="Times New Roman"/>
              </w:rPr>
              <w:t>)</w:t>
            </w:r>
            <w:r w:rsidRPr="007F5153">
              <w:rPr>
                <w:rFonts w:ascii="Times New Roman" w:eastAsia="標楷體" w:hAnsi="Times New Roman" w:hint="eastAsia"/>
              </w:rPr>
              <w:t>及顯微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多發性血管炎</w:t>
            </w:r>
            <w:r w:rsidRPr="007F5153">
              <w:rPr>
                <w:rFonts w:ascii="Times New Roman" w:eastAsia="標楷體" w:hAnsi="Times New Roman"/>
              </w:rPr>
              <w:t>(MPA)</w:t>
            </w:r>
            <w:r w:rsidRPr="007F5153">
              <w:rPr>
                <w:rFonts w:ascii="Times New Roman" w:eastAsia="標楷體" w:hAnsi="Times New Roman" w:hint="eastAsia"/>
              </w:rPr>
              <w:t>。</w:t>
            </w:r>
            <w:r w:rsidRPr="007F5153">
              <w:rPr>
                <w:rFonts w:ascii="Times New Roman" w:eastAsia="標楷體" w:hAnsi="Times New Roman" w:hint="eastAsia"/>
              </w:rPr>
              <w:br w:type="page"/>
            </w:r>
            <w:proofErr w:type="gramStart"/>
            <w:r w:rsidRPr="007F5153">
              <w:rPr>
                <w:rFonts w:ascii="Times New Roman" w:eastAsia="標楷體" w:hAnsi="Times New Roman" w:hint="eastAsia"/>
              </w:rPr>
              <w:t>尋常性天</w:t>
            </w:r>
            <w:proofErr w:type="gramEnd"/>
            <w:r w:rsidRPr="007F5153">
              <w:rPr>
                <w:rFonts w:ascii="Times New Roman" w:eastAsia="標楷體" w:hAnsi="Times New Roman" w:hint="eastAsia"/>
              </w:rPr>
              <w:t>疱瘡</w:t>
            </w:r>
            <w:r w:rsidRPr="007F5153">
              <w:rPr>
                <w:rFonts w:ascii="Times New Roman" w:eastAsia="標楷體" w:hAnsi="Times New Roman"/>
              </w:rPr>
              <w:t>(Pemphigus Vulgaris, PV)</w:t>
            </w:r>
            <w:r w:rsidRPr="007F5153">
              <w:rPr>
                <w:rFonts w:ascii="Times New Roman" w:eastAsia="標楷體" w:hAnsi="Times New Roman"/>
              </w:rPr>
              <w:br w:type="page"/>
              <w:t>-</w:t>
            </w:r>
            <w:r w:rsidRPr="007F5153">
              <w:rPr>
                <w:rFonts w:ascii="Times New Roman" w:eastAsia="標楷體" w:hAnsi="Times New Roman" w:hint="eastAsia"/>
              </w:rPr>
              <w:t>與葡萄糖皮質素</w:t>
            </w:r>
            <w:r w:rsidRPr="007F5153">
              <w:rPr>
                <w:rFonts w:ascii="Times New Roman" w:eastAsia="標楷體" w:hAnsi="Times New Roman"/>
              </w:rPr>
              <w:t>(glucocorticoids)</w:t>
            </w:r>
            <w:r w:rsidRPr="007F5153">
              <w:rPr>
                <w:rFonts w:ascii="Times New Roman" w:eastAsia="標楷體" w:hAnsi="Times New Roman" w:hint="eastAsia"/>
              </w:rPr>
              <w:t>併用，適用於治療中度至重度尋常性天疱瘡</w:t>
            </w:r>
            <w:r w:rsidRPr="007F5153">
              <w:rPr>
                <w:rFonts w:ascii="Times New Roman" w:eastAsia="標楷體" w:hAnsi="Times New Roman"/>
              </w:rPr>
              <w:t>(PV)</w:t>
            </w:r>
            <w:r w:rsidRPr="007F5153">
              <w:rPr>
                <w:rFonts w:ascii="Times New Roman" w:eastAsia="標楷體" w:hAnsi="Times New Roman" w:hint="eastAsia"/>
              </w:rPr>
              <w:t>的成人病人。</w:t>
            </w:r>
          </w:p>
        </w:tc>
      </w:tr>
    </w:tbl>
    <w:p w14:paraId="587220EB" w14:textId="37B34F38" w:rsidR="005B480E" w:rsidRPr="007F5153" w:rsidRDefault="005B480E" w:rsidP="00AA4EAD">
      <w:pPr>
        <w:rPr>
          <w:rFonts w:ascii="Times New Roman" w:eastAsia="標楷體" w:hAnsi="Times New Roman" w:cs="Times New Roman"/>
        </w:rPr>
      </w:pPr>
    </w:p>
    <w:sectPr w:rsidR="005B480E" w:rsidRPr="007F5153" w:rsidSect="00D82BD3">
      <w:pgSz w:w="16838" w:h="11906" w:orient="landscape"/>
      <w:pgMar w:top="1080" w:right="1440" w:bottom="108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81200" w14:textId="77777777" w:rsidR="00B649F6" w:rsidRDefault="00B649F6" w:rsidP="005251B1">
      <w:r>
        <w:separator/>
      </w:r>
    </w:p>
  </w:endnote>
  <w:endnote w:type="continuationSeparator" w:id="0">
    <w:p w14:paraId="3CA5C297" w14:textId="77777777" w:rsidR="00B649F6" w:rsidRDefault="00B649F6" w:rsidP="0052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15A5B" w14:textId="77777777" w:rsidR="00B649F6" w:rsidRDefault="00B649F6" w:rsidP="005251B1">
      <w:r>
        <w:separator/>
      </w:r>
    </w:p>
  </w:footnote>
  <w:footnote w:type="continuationSeparator" w:id="0">
    <w:p w14:paraId="27485640" w14:textId="77777777" w:rsidR="00B649F6" w:rsidRDefault="00B649F6" w:rsidP="0052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6CCA"/>
    <w:multiLevelType w:val="hybridMultilevel"/>
    <w:tmpl w:val="9D80CA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D411971"/>
    <w:multiLevelType w:val="hybridMultilevel"/>
    <w:tmpl w:val="2BFA975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084499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C01DE"/>
    <w:multiLevelType w:val="hybridMultilevel"/>
    <w:tmpl w:val="B14E79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250E7A"/>
    <w:multiLevelType w:val="hybridMultilevel"/>
    <w:tmpl w:val="10CEFA80"/>
    <w:lvl w:ilvl="0" w:tplc="C6C8A328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5255F2"/>
    <w:multiLevelType w:val="hybridMultilevel"/>
    <w:tmpl w:val="B9DA5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59310C"/>
    <w:multiLevelType w:val="hybridMultilevel"/>
    <w:tmpl w:val="082CC2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685A76"/>
    <w:multiLevelType w:val="hybridMultilevel"/>
    <w:tmpl w:val="9B12A8A4"/>
    <w:lvl w:ilvl="0" w:tplc="D72C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1808C2"/>
    <w:multiLevelType w:val="hybridMultilevel"/>
    <w:tmpl w:val="5072AA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4252E1"/>
    <w:multiLevelType w:val="hybridMultilevel"/>
    <w:tmpl w:val="98C2E9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1FD7F5C"/>
    <w:multiLevelType w:val="hybridMultilevel"/>
    <w:tmpl w:val="8E14FFC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23B3CD1"/>
    <w:multiLevelType w:val="hybridMultilevel"/>
    <w:tmpl w:val="B9DA5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164377"/>
    <w:multiLevelType w:val="hybridMultilevel"/>
    <w:tmpl w:val="D5CECC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0CD2C8B"/>
    <w:multiLevelType w:val="hybridMultilevel"/>
    <w:tmpl w:val="A80C5BB2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7A962CDA">
      <w:start w:val="99"/>
      <w:numFmt w:val="bullet"/>
      <w:lvlText w:val="◎"/>
      <w:lvlJc w:val="left"/>
      <w:pPr>
        <w:ind w:left="840" w:hanging="360"/>
      </w:pPr>
      <w:rPr>
        <w:rFonts w:ascii="標楷體" w:eastAsia="標楷體" w:hAnsi="標楷體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C005B3"/>
    <w:multiLevelType w:val="hybridMultilevel"/>
    <w:tmpl w:val="C4D48232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3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  <w:num w:numId="13">
    <w:abstractNumId w:val="6"/>
  </w:num>
  <w:num w:numId="14">
    <w:abstractNumId w:val="1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8C"/>
    <w:rsid w:val="00006F92"/>
    <w:rsid w:val="0001413B"/>
    <w:rsid w:val="0002303E"/>
    <w:rsid w:val="0002547E"/>
    <w:rsid w:val="00026589"/>
    <w:rsid w:val="00037CE9"/>
    <w:rsid w:val="00041109"/>
    <w:rsid w:val="00047369"/>
    <w:rsid w:val="00050A85"/>
    <w:rsid w:val="00053350"/>
    <w:rsid w:val="00057A0C"/>
    <w:rsid w:val="00064206"/>
    <w:rsid w:val="00077433"/>
    <w:rsid w:val="00091ADC"/>
    <w:rsid w:val="00093242"/>
    <w:rsid w:val="00095F30"/>
    <w:rsid w:val="000B7352"/>
    <w:rsid w:val="000C14F4"/>
    <w:rsid w:val="000C192D"/>
    <w:rsid w:val="000D7832"/>
    <w:rsid w:val="000E015E"/>
    <w:rsid w:val="000E18FE"/>
    <w:rsid w:val="000E22A4"/>
    <w:rsid w:val="000F3FAE"/>
    <w:rsid w:val="000F6321"/>
    <w:rsid w:val="00101A4F"/>
    <w:rsid w:val="00104A56"/>
    <w:rsid w:val="0010548A"/>
    <w:rsid w:val="00106621"/>
    <w:rsid w:val="00116D9F"/>
    <w:rsid w:val="00121EFB"/>
    <w:rsid w:val="00147E19"/>
    <w:rsid w:val="0015444F"/>
    <w:rsid w:val="00154BAF"/>
    <w:rsid w:val="0017684A"/>
    <w:rsid w:val="00183A23"/>
    <w:rsid w:val="001949ED"/>
    <w:rsid w:val="0019579C"/>
    <w:rsid w:val="001A0D81"/>
    <w:rsid w:val="001A7E96"/>
    <w:rsid w:val="001B10AC"/>
    <w:rsid w:val="001B3D70"/>
    <w:rsid w:val="001B56EF"/>
    <w:rsid w:val="001C3B5C"/>
    <w:rsid w:val="001C67F3"/>
    <w:rsid w:val="002045E8"/>
    <w:rsid w:val="00211AF1"/>
    <w:rsid w:val="00226141"/>
    <w:rsid w:val="00230AC1"/>
    <w:rsid w:val="00245FD9"/>
    <w:rsid w:val="00246708"/>
    <w:rsid w:val="00246FE1"/>
    <w:rsid w:val="002508EE"/>
    <w:rsid w:val="00251494"/>
    <w:rsid w:val="0025355A"/>
    <w:rsid w:val="00255428"/>
    <w:rsid w:val="002622AC"/>
    <w:rsid w:val="00266FB9"/>
    <w:rsid w:val="00270ADD"/>
    <w:rsid w:val="00275D2A"/>
    <w:rsid w:val="00285FAA"/>
    <w:rsid w:val="00286969"/>
    <w:rsid w:val="0029256E"/>
    <w:rsid w:val="002B40BC"/>
    <w:rsid w:val="002C0706"/>
    <w:rsid w:val="002D1CE1"/>
    <w:rsid w:val="002E5EFF"/>
    <w:rsid w:val="002F28F1"/>
    <w:rsid w:val="002F3045"/>
    <w:rsid w:val="002F35AF"/>
    <w:rsid w:val="002F54CB"/>
    <w:rsid w:val="00303018"/>
    <w:rsid w:val="00305A48"/>
    <w:rsid w:val="003442F6"/>
    <w:rsid w:val="003478B6"/>
    <w:rsid w:val="0037070F"/>
    <w:rsid w:val="00375A86"/>
    <w:rsid w:val="00376FB1"/>
    <w:rsid w:val="00391E82"/>
    <w:rsid w:val="003A6E35"/>
    <w:rsid w:val="003A7764"/>
    <w:rsid w:val="003E4B98"/>
    <w:rsid w:val="004279B3"/>
    <w:rsid w:val="004328CF"/>
    <w:rsid w:val="00433FCB"/>
    <w:rsid w:val="00435BE0"/>
    <w:rsid w:val="00442808"/>
    <w:rsid w:val="00445691"/>
    <w:rsid w:val="00450B7F"/>
    <w:rsid w:val="00451277"/>
    <w:rsid w:val="0046214F"/>
    <w:rsid w:val="00483FC8"/>
    <w:rsid w:val="004A656F"/>
    <w:rsid w:val="004C320F"/>
    <w:rsid w:val="004E55CE"/>
    <w:rsid w:val="004F0656"/>
    <w:rsid w:val="004F2979"/>
    <w:rsid w:val="0050022F"/>
    <w:rsid w:val="0050630F"/>
    <w:rsid w:val="00517A79"/>
    <w:rsid w:val="005251B1"/>
    <w:rsid w:val="00531D4D"/>
    <w:rsid w:val="00546314"/>
    <w:rsid w:val="00546BC1"/>
    <w:rsid w:val="00571103"/>
    <w:rsid w:val="00593F02"/>
    <w:rsid w:val="005A7F37"/>
    <w:rsid w:val="005A7F89"/>
    <w:rsid w:val="005B480E"/>
    <w:rsid w:val="005C1357"/>
    <w:rsid w:val="005D1B02"/>
    <w:rsid w:val="005D4BC8"/>
    <w:rsid w:val="005E0459"/>
    <w:rsid w:val="005E0744"/>
    <w:rsid w:val="005E6DAE"/>
    <w:rsid w:val="005F0903"/>
    <w:rsid w:val="005F0B19"/>
    <w:rsid w:val="005F25FC"/>
    <w:rsid w:val="00606652"/>
    <w:rsid w:val="006110CB"/>
    <w:rsid w:val="00614839"/>
    <w:rsid w:val="006159CE"/>
    <w:rsid w:val="006162C0"/>
    <w:rsid w:val="00623399"/>
    <w:rsid w:val="00626FC8"/>
    <w:rsid w:val="00653C65"/>
    <w:rsid w:val="00660867"/>
    <w:rsid w:val="0066267D"/>
    <w:rsid w:val="006742D4"/>
    <w:rsid w:val="00675C71"/>
    <w:rsid w:val="00682DD4"/>
    <w:rsid w:val="00685573"/>
    <w:rsid w:val="00695B11"/>
    <w:rsid w:val="006A7DBA"/>
    <w:rsid w:val="006B0452"/>
    <w:rsid w:val="006B70EB"/>
    <w:rsid w:val="006C3C92"/>
    <w:rsid w:val="006D30D6"/>
    <w:rsid w:val="006D3457"/>
    <w:rsid w:val="006D778A"/>
    <w:rsid w:val="006E1A3F"/>
    <w:rsid w:val="006E7186"/>
    <w:rsid w:val="006F345B"/>
    <w:rsid w:val="006F7EA6"/>
    <w:rsid w:val="007076A9"/>
    <w:rsid w:val="00707B8C"/>
    <w:rsid w:val="00712D81"/>
    <w:rsid w:val="00715FFF"/>
    <w:rsid w:val="007247E9"/>
    <w:rsid w:val="00727917"/>
    <w:rsid w:val="0074184F"/>
    <w:rsid w:val="00743520"/>
    <w:rsid w:val="007452D8"/>
    <w:rsid w:val="00753C85"/>
    <w:rsid w:val="00764A4A"/>
    <w:rsid w:val="00785AA6"/>
    <w:rsid w:val="00790184"/>
    <w:rsid w:val="00795BFD"/>
    <w:rsid w:val="007A15DD"/>
    <w:rsid w:val="007A31B7"/>
    <w:rsid w:val="007C2C39"/>
    <w:rsid w:val="007D3001"/>
    <w:rsid w:val="007D6B39"/>
    <w:rsid w:val="007E664C"/>
    <w:rsid w:val="007F5153"/>
    <w:rsid w:val="00811E27"/>
    <w:rsid w:val="00821120"/>
    <w:rsid w:val="0082517B"/>
    <w:rsid w:val="00844028"/>
    <w:rsid w:val="00855965"/>
    <w:rsid w:val="00860D51"/>
    <w:rsid w:val="008632FB"/>
    <w:rsid w:val="008722D1"/>
    <w:rsid w:val="008741A6"/>
    <w:rsid w:val="00874639"/>
    <w:rsid w:val="008764C3"/>
    <w:rsid w:val="0088591D"/>
    <w:rsid w:val="00894069"/>
    <w:rsid w:val="008A3195"/>
    <w:rsid w:val="008B19C4"/>
    <w:rsid w:val="008B1CDC"/>
    <w:rsid w:val="008C6B4B"/>
    <w:rsid w:val="008C7013"/>
    <w:rsid w:val="008E2F56"/>
    <w:rsid w:val="00912BB5"/>
    <w:rsid w:val="00932246"/>
    <w:rsid w:val="00932F2D"/>
    <w:rsid w:val="00933134"/>
    <w:rsid w:val="0093510A"/>
    <w:rsid w:val="0093648F"/>
    <w:rsid w:val="00937ED9"/>
    <w:rsid w:val="00951631"/>
    <w:rsid w:val="00953359"/>
    <w:rsid w:val="00955726"/>
    <w:rsid w:val="00960836"/>
    <w:rsid w:val="00967D54"/>
    <w:rsid w:val="00971147"/>
    <w:rsid w:val="00972BF8"/>
    <w:rsid w:val="00991820"/>
    <w:rsid w:val="009A3C50"/>
    <w:rsid w:val="009B02AC"/>
    <w:rsid w:val="009B226C"/>
    <w:rsid w:val="009D1E16"/>
    <w:rsid w:val="009E56DE"/>
    <w:rsid w:val="009F19F5"/>
    <w:rsid w:val="009F52CF"/>
    <w:rsid w:val="00A10146"/>
    <w:rsid w:val="00A35F4F"/>
    <w:rsid w:val="00A378FD"/>
    <w:rsid w:val="00A5148A"/>
    <w:rsid w:val="00A531DB"/>
    <w:rsid w:val="00A5780C"/>
    <w:rsid w:val="00A65C24"/>
    <w:rsid w:val="00A65E47"/>
    <w:rsid w:val="00A67B29"/>
    <w:rsid w:val="00A73C0B"/>
    <w:rsid w:val="00A74634"/>
    <w:rsid w:val="00A816AB"/>
    <w:rsid w:val="00A87FD4"/>
    <w:rsid w:val="00A9078F"/>
    <w:rsid w:val="00AA20EB"/>
    <w:rsid w:val="00AA4EAD"/>
    <w:rsid w:val="00AB1A3F"/>
    <w:rsid w:val="00AB5482"/>
    <w:rsid w:val="00AC7A88"/>
    <w:rsid w:val="00AD657B"/>
    <w:rsid w:val="00AE781A"/>
    <w:rsid w:val="00B144C6"/>
    <w:rsid w:val="00B16169"/>
    <w:rsid w:val="00B201A2"/>
    <w:rsid w:val="00B20943"/>
    <w:rsid w:val="00B409A2"/>
    <w:rsid w:val="00B44F4D"/>
    <w:rsid w:val="00B627D9"/>
    <w:rsid w:val="00B628AE"/>
    <w:rsid w:val="00B649F6"/>
    <w:rsid w:val="00B71B62"/>
    <w:rsid w:val="00B73E7C"/>
    <w:rsid w:val="00B8111A"/>
    <w:rsid w:val="00B84FA8"/>
    <w:rsid w:val="00B92269"/>
    <w:rsid w:val="00B9353E"/>
    <w:rsid w:val="00BA4A8B"/>
    <w:rsid w:val="00BA755B"/>
    <w:rsid w:val="00BB71D0"/>
    <w:rsid w:val="00BD06A6"/>
    <w:rsid w:val="00BD42E5"/>
    <w:rsid w:val="00BF0C52"/>
    <w:rsid w:val="00BF0D5A"/>
    <w:rsid w:val="00BF1146"/>
    <w:rsid w:val="00C05FEF"/>
    <w:rsid w:val="00C123DF"/>
    <w:rsid w:val="00C20B39"/>
    <w:rsid w:val="00C27809"/>
    <w:rsid w:val="00C31F44"/>
    <w:rsid w:val="00C3457C"/>
    <w:rsid w:val="00C34B44"/>
    <w:rsid w:val="00C4181A"/>
    <w:rsid w:val="00C43E40"/>
    <w:rsid w:val="00C57C97"/>
    <w:rsid w:val="00C80344"/>
    <w:rsid w:val="00C81B7A"/>
    <w:rsid w:val="00C8650F"/>
    <w:rsid w:val="00C93DF5"/>
    <w:rsid w:val="00CA7B27"/>
    <w:rsid w:val="00CD0D02"/>
    <w:rsid w:val="00CD740D"/>
    <w:rsid w:val="00CE76E7"/>
    <w:rsid w:val="00CF0862"/>
    <w:rsid w:val="00CF1B9A"/>
    <w:rsid w:val="00D03FF2"/>
    <w:rsid w:val="00D06B41"/>
    <w:rsid w:val="00D13D8F"/>
    <w:rsid w:val="00D34AED"/>
    <w:rsid w:val="00D36AA9"/>
    <w:rsid w:val="00D37002"/>
    <w:rsid w:val="00D47CDB"/>
    <w:rsid w:val="00D51176"/>
    <w:rsid w:val="00D66772"/>
    <w:rsid w:val="00D70F4C"/>
    <w:rsid w:val="00D74D79"/>
    <w:rsid w:val="00D76DE5"/>
    <w:rsid w:val="00D82BD3"/>
    <w:rsid w:val="00D84B49"/>
    <w:rsid w:val="00D92F6B"/>
    <w:rsid w:val="00D97775"/>
    <w:rsid w:val="00DB44E6"/>
    <w:rsid w:val="00DB5B05"/>
    <w:rsid w:val="00DC7640"/>
    <w:rsid w:val="00DD7143"/>
    <w:rsid w:val="00DE2A62"/>
    <w:rsid w:val="00DE4EF5"/>
    <w:rsid w:val="00DE5AA5"/>
    <w:rsid w:val="00DE771D"/>
    <w:rsid w:val="00DF4091"/>
    <w:rsid w:val="00DF7D83"/>
    <w:rsid w:val="00E04447"/>
    <w:rsid w:val="00E05B98"/>
    <w:rsid w:val="00E257F5"/>
    <w:rsid w:val="00E31BFD"/>
    <w:rsid w:val="00E61ABF"/>
    <w:rsid w:val="00E65A7F"/>
    <w:rsid w:val="00E74265"/>
    <w:rsid w:val="00E77AC7"/>
    <w:rsid w:val="00E84B46"/>
    <w:rsid w:val="00E90C0F"/>
    <w:rsid w:val="00E91835"/>
    <w:rsid w:val="00EA2980"/>
    <w:rsid w:val="00EA4267"/>
    <w:rsid w:val="00EA6958"/>
    <w:rsid w:val="00EB0F56"/>
    <w:rsid w:val="00EB5DA3"/>
    <w:rsid w:val="00EB5DB6"/>
    <w:rsid w:val="00EB76FF"/>
    <w:rsid w:val="00ED4CA3"/>
    <w:rsid w:val="00EF4389"/>
    <w:rsid w:val="00F34368"/>
    <w:rsid w:val="00F364E7"/>
    <w:rsid w:val="00F371DE"/>
    <w:rsid w:val="00F46665"/>
    <w:rsid w:val="00F5312A"/>
    <w:rsid w:val="00F553B3"/>
    <w:rsid w:val="00F62418"/>
    <w:rsid w:val="00F75B20"/>
    <w:rsid w:val="00F80CE8"/>
    <w:rsid w:val="00F934D7"/>
    <w:rsid w:val="00F96A02"/>
    <w:rsid w:val="00FA72C6"/>
    <w:rsid w:val="00FB3254"/>
    <w:rsid w:val="00FB3523"/>
    <w:rsid w:val="00FB583B"/>
    <w:rsid w:val="00FB5DB9"/>
    <w:rsid w:val="00FE0D8C"/>
    <w:rsid w:val="00FE501C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F8766"/>
  <w15:docId w15:val="{A6A49EE6-668E-4FC5-807B-7775C3E1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53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1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1B1"/>
    <w:rPr>
      <w:sz w:val="20"/>
      <w:szCs w:val="20"/>
    </w:rPr>
  </w:style>
  <w:style w:type="table" w:styleId="a9">
    <w:name w:val="Table Grid"/>
    <w:basedOn w:val="a1"/>
    <w:rsid w:val="005251B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6D30D6"/>
  </w:style>
  <w:style w:type="paragraph" w:styleId="aa">
    <w:name w:val="List Paragraph"/>
    <w:basedOn w:val="a"/>
    <w:uiPriority w:val="34"/>
    <w:qFormat/>
    <w:rsid w:val="00951631"/>
    <w:pPr>
      <w:ind w:leftChars="200" w:left="480"/>
    </w:pPr>
  </w:style>
  <w:style w:type="character" w:styleId="ab">
    <w:name w:val="Hyperlink"/>
    <w:basedOn w:val="a0"/>
    <w:uiPriority w:val="99"/>
    <w:unhideWhenUsed/>
    <w:rsid w:val="00B144C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932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FB5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DD98-574B-4B60-8423-4E83E79D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911</Words>
  <Characters>5199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陳音沅</dc:creator>
  <cp:lastModifiedBy>黃暐涵</cp:lastModifiedBy>
  <cp:revision>6</cp:revision>
  <cp:lastPrinted>2023-04-24T09:49:00Z</cp:lastPrinted>
  <dcterms:created xsi:type="dcterms:W3CDTF">2023-05-02T03:41:00Z</dcterms:created>
  <dcterms:modified xsi:type="dcterms:W3CDTF">2023-05-03T02:29:00Z</dcterms:modified>
</cp:coreProperties>
</file>