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CF39" w14:textId="006F6C2D" w:rsidR="00874639" w:rsidRPr="007C2C39" w:rsidRDefault="00C04FC1" w:rsidP="00707B8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C04FC1">
        <w:rPr>
          <w:rFonts w:ascii="Times New Roman" w:eastAsia="標楷體" w:hAnsi="Times New Roman" w:cs="Times New Roman" w:hint="eastAsia"/>
          <w:b/>
          <w:sz w:val="36"/>
          <w:szCs w:val="36"/>
        </w:rPr>
        <w:t>Hydroxyethyl starch (HES)</w:t>
      </w:r>
      <w:r w:rsidRPr="00C04FC1">
        <w:rPr>
          <w:rFonts w:ascii="Times New Roman" w:eastAsia="標楷體" w:hAnsi="Times New Roman" w:cs="Times New Roman" w:hint="eastAsia"/>
          <w:b/>
          <w:sz w:val="36"/>
          <w:szCs w:val="36"/>
        </w:rPr>
        <w:t>類</w:t>
      </w:r>
      <w:r w:rsidR="00C57C97" w:rsidRPr="007C2C39">
        <w:rPr>
          <w:rFonts w:ascii="Times New Roman" w:eastAsia="標楷體" w:hAnsi="Times New Roman" w:cs="Times New Roman"/>
          <w:b/>
          <w:sz w:val="36"/>
          <w:szCs w:val="36"/>
        </w:rPr>
        <w:t>成分藥品安全資訊風險溝通表</w:t>
      </w:r>
    </w:p>
    <w:p w14:paraId="627EC8FF" w14:textId="00C08202" w:rsidR="00707B8C" w:rsidRPr="007C2C39" w:rsidRDefault="00707B8C" w:rsidP="00707B8C">
      <w:pPr>
        <w:jc w:val="right"/>
        <w:rPr>
          <w:rFonts w:ascii="Times New Roman" w:eastAsia="標楷體" w:hAnsi="Times New Roman" w:cs="Times New Roman"/>
          <w:szCs w:val="24"/>
        </w:rPr>
      </w:pPr>
      <w:r w:rsidRPr="007C2C39">
        <w:rPr>
          <w:rFonts w:ascii="Times New Roman" w:eastAsia="標楷體" w:hAnsi="Times New Roman" w:cs="Times New Roman"/>
          <w:szCs w:val="24"/>
        </w:rPr>
        <w:t>日期：</w:t>
      </w:r>
      <w:r w:rsidR="008B19C4">
        <w:rPr>
          <w:rFonts w:ascii="Times New Roman" w:eastAsia="標楷體" w:hAnsi="Times New Roman" w:cs="Times New Roman" w:hint="eastAsia"/>
          <w:szCs w:val="24"/>
        </w:rPr>
        <w:t>1</w:t>
      </w:r>
      <w:r w:rsidR="008B19C4">
        <w:rPr>
          <w:rFonts w:ascii="Times New Roman" w:eastAsia="標楷體" w:hAnsi="Times New Roman" w:cs="Times New Roman"/>
          <w:szCs w:val="24"/>
        </w:rPr>
        <w:t>1</w:t>
      </w:r>
      <w:r w:rsidR="00CD2773">
        <w:rPr>
          <w:rFonts w:ascii="Times New Roman" w:eastAsia="標楷體" w:hAnsi="Times New Roman" w:cs="Times New Roman" w:hint="eastAsia"/>
          <w:szCs w:val="24"/>
        </w:rPr>
        <w:t>2</w:t>
      </w:r>
      <w:r w:rsidR="008B19C4">
        <w:rPr>
          <w:rFonts w:ascii="Times New Roman" w:eastAsia="標楷體" w:hAnsi="Times New Roman" w:cs="Times New Roman"/>
          <w:szCs w:val="24"/>
        </w:rPr>
        <w:t>/</w:t>
      </w:r>
      <w:r w:rsidR="00CD2773">
        <w:rPr>
          <w:rFonts w:ascii="Times New Roman" w:eastAsia="標楷體" w:hAnsi="Times New Roman" w:cs="Times New Roman" w:hint="eastAsia"/>
          <w:szCs w:val="24"/>
        </w:rPr>
        <w:t>0</w:t>
      </w:r>
      <w:r w:rsidR="006C5023">
        <w:rPr>
          <w:rFonts w:ascii="Times New Roman" w:eastAsia="標楷體" w:hAnsi="Times New Roman" w:cs="Times New Roman" w:hint="eastAsia"/>
          <w:szCs w:val="24"/>
        </w:rPr>
        <w:t>4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41"/>
      </w:tblGrid>
      <w:tr w:rsidR="00707B8C" w:rsidRPr="007C2C39" w14:paraId="1074C10E" w14:textId="77777777" w:rsidTr="00543FB1">
        <w:trPr>
          <w:trHeight w:val="333"/>
          <w:jc w:val="center"/>
        </w:trPr>
        <w:tc>
          <w:tcPr>
            <w:tcW w:w="1988" w:type="dxa"/>
            <w:vAlign w:val="center"/>
          </w:tcPr>
          <w:p w14:paraId="34F1D241" w14:textId="77777777" w:rsidR="00707B8C" w:rsidRPr="007C2C39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2C39">
              <w:rPr>
                <w:rFonts w:ascii="Times New Roman" w:eastAsia="標楷體" w:hAnsi="Times New Roman" w:cs="Times New Roman"/>
                <w:szCs w:val="24"/>
              </w:rPr>
              <w:t>藥品成分</w:t>
            </w:r>
          </w:p>
        </w:tc>
        <w:tc>
          <w:tcPr>
            <w:tcW w:w="7741" w:type="dxa"/>
          </w:tcPr>
          <w:p w14:paraId="16BAFAD4" w14:textId="05297343" w:rsidR="00E37843" w:rsidRDefault="00E37843" w:rsidP="00E37843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H</w:t>
            </w:r>
            <w:r w:rsidR="008B19C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ydroxyethyl starch</w:t>
            </w:r>
            <w:r w:rsidR="00255A0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</w:t>
            </w:r>
          </w:p>
          <w:p w14:paraId="3C1BC581" w14:textId="7422F282" w:rsidR="009052A8" w:rsidRPr="007C2C39" w:rsidRDefault="00E37843" w:rsidP="00E37843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255A0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包括</w:t>
            </w:r>
            <w:r w:rsidR="009052A8" w:rsidRPr="009052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hydroxy</w:t>
            </w:r>
            <w:r w:rsidR="00255A0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e</w:t>
            </w:r>
            <w:r w:rsidR="009052A8" w:rsidRPr="009052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thyl starch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,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9052A8" w:rsidRPr="009052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hetastarch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,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9052A8" w:rsidRPr="009052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poly</w:t>
            </w:r>
            <w:r w:rsidR="006C502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9052A8" w:rsidRPr="009052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(O-2</w:t>
            </w:r>
            <w:r w:rsidR="006C502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9052A8" w:rsidRPr="009052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hydroxyethyl)</w:t>
            </w:r>
            <w:r w:rsidR="006C502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9052A8" w:rsidRPr="009052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starch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07B8C" w:rsidRPr="007C2C39" w14:paraId="6DC252F5" w14:textId="77777777" w:rsidTr="00543FB1">
        <w:trPr>
          <w:trHeight w:val="333"/>
          <w:jc w:val="center"/>
        </w:trPr>
        <w:tc>
          <w:tcPr>
            <w:tcW w:w="1988" w:type="dxa"/>
            <w:vAlign w:val="center"/>
          </w:tcPr>
          <w:p w14:paraId="6A1EEBBB" w14:textId="77777777" w:rsidR="00707B8C" w:rsidRPr="007C2C39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2C39">
              <w:rPr>
                <w:rFonts w:ascii="Times New Roman" w:eastAsia="標楷體" w:hAnsi="Times New Roman" w:cs="Times New Roman"/>
                <w:szCs w:val="24"/>
              </w:rPr>
              <w:t>藥品名稱</w:t>
            </w:r>
          </w:p>
          <w:p w14:paraId="3F46673C" w14:textId="77777777" w:rsidR="00707B8C" w:rsidRPr="007C2C39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2C39">
              <w:rPr>
                <w:rFonts w:ascii="Times New Roman" w:eastAsia="標楷體" w:hAnsi="Times New Roman" w:cs="Times New Roman"/>
                <w:szCs w:val="24"/>
              </w:rPr>
              <w:t>及許可證字號</w:t>
            </w:r>
          </w:p>
        </w:tc>
        <w:tc>
          <w:tcPr>
            <w:tcW w:w="7741" w:type="dxa"/>
          </w:tcPr>
          <w:p w14:paraId="0AF33DC5" w14:textId="125FC5B7" w:rsidR="00095F30" w:rsidRPr="007C2C39" w:rsidRDefault="00C57C97" w:rsidP="00B71B62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</w:pPr>
            <w:r w:rsidRPr="007C2C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衛生福利部核准</w:t>
            </w:r>
            <w:r w:rsidR="008B19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h</w:t>
            </w:r>
            <w:r w:rsidR="008B19C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ydroxyethyl starch</w:t>
            </w:r>
            <w:r w:rsidR="004337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</w:t>
            </w:r>
            <w:r w:rsidRPr="007C2C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成分藥品製劑許可證共</w:t>
            </w:r>
            <w:r w:rsidR="008B19C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Pr="007C2C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</w:t>
            </w:r>
            <w:r w:rsidR="00707B8C" w:rsidRPr="007C2C39"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  <w:t>。</w:t>
            </w:r>
          </w:p>
          <w:p w14:paraId="3095614B" w14:textId="77777777" w:rsidR="00707B8C" w:rsidRPr="007C2C39" w:rsidRDefault="00707B8C" w:rsidP="00095F30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</w:pPr>
            <w:r w:rsidRPr="007C2C39"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  <w:t>查詢網址</w:t>
            </w:r>
            <w:r w:rsidR="00095F30" w:rsidRPr="007C2C39"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  <w:t>：</w:t>
            </w:r>
            <w:hyperlink r:id="rId8" w:history="1">
              <w:r w:rsidRPr="007C2C39">
                <w:rPr>
                  <w:rFonts w:ascii="Times New Roman" w:eastAsia="標楷體" w:hAnsi="Times New Roman" w:cs="Times New Roman"/>
                  <w:bCs/>
                  <w:color w:val="0000FF"/>
                  <w:kern w:val="36"/>
                  <w:szCs w:val="24"/>
                  <w:u w:val="single"/>
                  <w:lang w:bidi="hi-IN"/>
                </w:rPr>
                <w:t>https://www.fda.gov.tw/mlms/H0001.aspx</w:t>
              </w:r>
            </w:hyperlink>
          </w:p>
        </w:tc>
      </w:tr>
      <w:tr w:rsidR="00707B8C" w:rsidRPr="007C2C39" w14:paraId="71563CDB" w14:textId="77777777" w:rsidTr="00543FB1">
        <w:trPr>
          <w:trHeight w:val="333"/>
          <w:jc w:val="center"/>
        </w:trPr>
        <w:tc>
          <w:tcPr>
            <w:tcW w:w="1988" w:type="dxa"/>
            <w:vAlign w:val="center"/>
          </w:tcPr>
          <w:p w14:paraId="52F5839A" w14:textId="77777777" w:rsidR="00707B8C" w:rsidRPr="007C2C39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2C39">
              <w:rPr>
                <w:rFonts w:ascii="Times New Roman" w:eastAsia="標楷體" w:hAnsi="Times New Roman" w:cs="Times New Roman"/>
                <w:color w:val="000000"/>
                <w:szCs w:val="24"/>
              </w:rPr>
              <w:t>適應症</w:t>
            </w:r>
          </w:p>
        </w:tc>
        <w:tc>
          <w:tcPr>
            <w:tcW w:w="7741" w:type="dxa"/>
          </w:tcPr>
          <w:p w14:paraId="2FC69BDD" w14:textId="59794107" w:rsidR="00CA7B27" w:rsidRPr="007C2C39" w:rsidRDefault="008B19C4" w:rsidP="00147E19">
            <w:pPr>
              <w:tabs>
                <w:tab w:val="left" w:pos="1010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19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單獨使用</w:t>
            </w:r>
            <w:proofErr w:type="gramStart"/>
            <w:r w:rsidRPr="008B19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晶質輸注液</w:t>
            </w:r>
            <w:proofErr w:type="gramEnd"/>
            <w:r w:rsidRPr="008B19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無法治療之急性出血導致之低血容積病人，</w:t>
            </w:r>
            <w:proofErr w:type="gramStart"/>
            <w:r w:rsidRPr="008B19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本品無</w:t>
            </w:r>
            <w:proofErr w:type="gramEnd"/>
            <w:r w:rsidRPr="008B19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法取代紅血球及血漿中的凝血因子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707B8C" w:rsidRPr="007C2C39" w14:paraId="4FF99351" w14:textId="77777777" w:rsidTr="00543FB1">
        <w:trPr>
          <w:jc w:val="center"/>
        </w:trPr>
        <w:tc>
          <w:tcPr>
            <w:tcW w:w="1988" w:type="dxa"/>
            <w:vAlign w:val="center"/>
          </w:tcPr>
          <w:p w14:paraId="14699A04" w14:textId="77777777" w:rsidR="00707B8C" w:rsidRPr="007C2C39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2C39">
              <w:rPr>
                <w:rFonts w:ascii="Times New Roman" w:eastAsia="標楷體" w:hAnsi="Times New Roman" w:cs="Times New Roman"/>
                <w:szCs w:val="24"/>
              </w:rPr>
              <w:t>藥理作用機轉</w:t>
            </w:r>
          </w:p>
        </w:tc>
        <w:tc>
          <w:tcPr>
            <w:tcW w:w="7741" w:type="dxa"/>
          </w:tcPr>
          <w:p w14:paraId="32465A0E" w14:textId="3DEF5A00" w:rsidR="00093242" w:rsidRPr="000E22A4" w:rsidRDefault="000E22A4" w:rsidP="000E22A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25282A"/>
                <w:szCs w:val="24"/>
              </w:rPr>
            </w:pPr>
            <w:proofErr w:type="gramStart"/>
            <w:r w:rsidRPr="000E22A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羥乙基</w:t>
            </w:r>
            <w:proofErr w:type="gramEnd"/>
            <w:r w:rsidRPr="000E22A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澱粉</w:t>
            </w:r>
            <w:r w:rsidR="00255A0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255A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HES)</w:t>
            </w:r>
            <w:r w:rsidRPr="000E22A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溶液，</w:t>
            </w:r>
            <w:r w:rsidRPr="000E22A4">
              <w:rPr>
                <w:rFonts w:ascii="Times New Roman" w:eastAsia="標楷體" w:hAnsi="Times New Roman" w:cs="Times New Roman"/>
                <w:kern w:val="0"/>
                <w:szCs w:val="24"/>
              </w:rPr>
              <w:t>是一種膠體狀的血漿代用品，</w:t>
            </w:r>
            <w:r w:rsidRPr="000E22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用途為替代和補充血液容積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0E22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配合控制劑量</w:t>
            </w:r>
            <w:proofErr w:type="gramStart"/>
            <w:r w:rsidRPr="000E22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與輸注速</w:t>
            </w:r>
            <w:proofErr w:type="gramEnd"/>
            <w:r w:rsidRPr="000E22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率等條件，使血管內容積擴張並稀釋血液而發揮效用。</w:t>
            </w:r>
            <w:proofErr w:type="gramStart"/>
            <w:r w:rsidRPr="000E22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羥乙基</w:t>
            </w:r>
            <w:proofErr w:type="gramEnd"/>
            <w:r w:rsidRPr="000E22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澱粉聚合物透過在血管內發生水解作用，持續釋放小分子，這些分子同樣具有膨脹活性，然後透過腎臟排出</w:t>
            </w:r>
            <w:r w:rsidR="00991820" w:rsidRPr="000E22A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707B8C" w:rsidRPr="007C2C39" w14:paraId="12F99B7A" w14:textId="77777777" w:rsidTr="00543FB1">
        <w:trPr>
          <w:trHeight w:val="416"/>
          <w:jc w:val="center"/>
        </w:trPr>
        <w:tc>
          <w:tcPr>
            <w:tcW w:w="1988" w:type="dxa"/>
            <w:vAlign w:val="center"/>
          </w:tcPr>
          <w:p w14:paraId="34956829" w14:textId="77777777" w:rsidR="00707B8C" w:rsidRPr="007C2C39" w:rsidRDefault="00707B8C" w:rsidP="00707B8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C39">
              <w:rPr>
                <w:rFonts w:ascii="Times New Roman" w:eastAsia="標楷體" w:hAnsi="Times New Roman" w:cs="Times New Roman"/>
                <w:color w:val="000000"/>
                <w:szCs w:val="24"/>
              </w:rPr>
              <w:t>訊息緣由</w:t>
            </w:r>
          </w:p>
        </w:tc>
        <w:tc>
          <w:tcPr>
            <w:tcW w:w="7741" w:type="dxa"/>
          </w:tcPr>
          <w:p w14:paraId="732FFC93" w14:textId="7A5F6587" w:rsidR="00707B8C" w:rsidRPr="002C0CBC" w:rsidRDefault="001B14BA" w:rsidP="008A3195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2C0CBC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因</w:t>
            </w:r>
            <w:r w:rsidR="00517221" w:rsidRPr="002C0CB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 w:rsidRPr="002C0CB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2C0CBC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="0082008F" w:rsidRPr="002C0CBC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用於敗血症、燒燙傷或重症患者等族群，可能增加腎損傷及死亡風險，經檢視國內不良反應通報案例，仍有用於前述族群之情形</w:t>
            </w:r>
            <w:r w:rsidR="00F371DE" w:rsidRPr="002C0CBC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，</w:t>
            </w:r>
            <w:r w:rsidR="00F7278B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經本</w:t>
            </w:r>
            <w:r w:rsidR="00F371DE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署</w:t>
            </w:r>
            <w:r w:rsidR="0050022F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彙集國內、外相關資料及臨床文獻報告進行整體性評估</w:t>
            </w:r>
            <w:r w:rsidR="008A3195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，</w:t>
            </w:r>
            <w:r w:rsidR="00F371DE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決議</w:t>
            </w:r>
            <w:r w:rsidR="008A3195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針對國內</w:t>
            </w:r>
            <w:r w:rsidR="00517221" w:rsidRPr="002C0CB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 w:rsidRPr="002C0CB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2C0CBC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="008A3195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施行適應症</w:t>
            </w:r>
            <w:r w:rsidR="00F34368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限縮</w:t>
            </w:r>
            <w:r w:rsidR="008A3195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等風險管控措施。</w:t>
            </w:r>
            <w:r w:rsidR="00FB583B" w:rsidRPr="002C0CB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07B8C" w:rsidRPr="007C2C39" w14:paraId="7713E7DD" w14:textId="77777777" w:rsidTr="00543FB1">
        <w:trPr>
          <w:trHeight w:val="896"/>
          <w:jc w:val="center"/>
        </w:trPr>
        <w:tc>
          <w:tcPr>
            <w:tcW w:w="1988" w:type="dxa"/>
            <w:vAlign w:val="center"/>
          </w:tcPr>
          <w:p w14:paraId="0CCE4568" w14:textId="77777777" w:rsidR="00707B8C" w:rsidRPr="005E0744" w:rsidRDefault="00095F30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744">
              <w:rPr>
                <w:rFonts w:ascii="Times New Roman" w:eastAsia="標楷體" w:hAnsi="Times New Roman" w:cs="Times New Roman"/>
                <w:szCs w:val="24"/>
              </w:rPr>
              <w:t>藥品安全有關資訊分析及描述</w:t>
            </w:r>
          </w:p>
        </w:tc>
        <w:tc>
          <w:tcPr>
            <w:tcW w:w="7741" w:type="dxa"/>
          </w:tcPr>
          <w:p w14:paraId="327DB2AC" w14:textId="43BC16CD" w:rsidR="0082008F" w:rsidRPr="0082008F" w:rsidRDefault="00FB3523" w:rsidP="00912BAF">
            <w:pPr>
              <w:pStyle w:val="aa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過去</w:t>
            </w:r>
            <w:r w:rsidR="008A3195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文獻發現包含敗血症在內</w:t>
            </w:r>
            <w:r w:rsidR="00BF0C5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的</w:t>
            </w:r>
            <w:r w:rsidR="008A3195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重症患者使用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="00BF0C5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可能</w:t>
            </w:r>
            <w:r w:rsidR="008A3195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增加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死亡率與導致須透析治療之腎臟損傷風險，故我國於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103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年及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105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年先後公告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使用之風險管控措施，</w:t>
            </w:r>
            <w:r w:rsidR="0022074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包含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適應症與</w:t>
            </w:r>
            <w:r w:rsidR="00220742" w:rsidRPr="0022074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中文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仿單禁忌、</w:t>
            </w:r>
            <w:r w:rsidR="0082008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特殊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警語</w:t>
            </w:r>
            <w:r w:rsidR="00220742" w:rsidRPr="0022074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、用法用量、</w:t>
            </w:r>
            <w:r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警語及注意事項等修訂</w:t>
            </w:r>
            <w:r w:rsidR="00846F4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</w:t>
            </w:r>
            <w:proofErr w:type="gramStart"/>
            <w:r w:rsidR="00846F4D" w:rsidRPr="00846F4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然查國內</w:t>
            </w:r>
            <w:proofErr w:type="gramEnd"/>
            <w:r w:rsidR="00846F4D" w:rsidRPr="00846F4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不良反應通報案例，仍有於前述公告管制措施後使用於禁忌症之情形</w:t>
            </w:r>
            <w:r w:rsidR="001C67F3" w:rsidRPr="00F371D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。</w:t>
            </w:r>
          </w:p>
          <w:p w14:paraId="283AE445" w14:textId="6ADC44E6" w:rsidR="00095F30" w:rsidRPr="00F371DE" w:rsidRDefault="00220742" w:rsidP="00912BAF">
            <w:pPr>
              <w:pStyle w:val="aa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近期</w:t>
            </w:r>
            <w:r w:rsidR="00E0004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本</w:t>
            </w:r>
            <w:r w:rsidR="00846F4D" w:rsidRPr="002C0CBC">
              <w:rPr>
                <w:rFonts w:ascii="Times New Roman" w:eastAsia="標楷體" w:hAnsi="Times New Roman" w:cs="Times New Roman" w:hint="eastAsia"/>
                <w:color w:val="000000" w:themeColor="text1"/>
                <w:kern w:val="36"/>
                <w:szCs w:val="24"/>
                <w:lang w:bidi="hi-IN"/>
              </w:rPr>
              <w:t>署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監控</w:t>
            </w:r>
            <w:proofErr w:type="gramEnd"/>
            <w:r w:rsidR="00F371DE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歐洲醫藥管理局（</w:t>
            </w:r>
            <w:r w:rsidR="00F371DE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EMA</w:t>
            </w:r>
            <w:r w:rsidR="00F371DE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）發布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</w:t>
            </w:r>
            <w:r w:rsidR="00F371DE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警訊，因藥物利用研究結果發現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="00F371DE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持續使用於</w:t>
            </w:r>
            <w:r w:rsidR="00846F4D" w:rsidRPr="00846F4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非仿單建議之族群，認為先前限制使用措施未能被確實遵守</w:t>
            </w:r>
            <w:r w:rsidR="00F371DE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，評估其效益不再大於風險，建議於歐盟地區暫停銷售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Pr="0022074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，惟個別歐盟成員國基於公共衛生必要原因，得延遲此決議施行，但延遲期限不可超過</w:t>
            </w:r>
            <w:r w:rsidRPr="0022074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18</w:t>
            </w:r>
            <w:r w:rsidRPr="0022074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個月，且須遵守風險管控最小化措施</w:t>
            </w:r>
            <w:r w:rsidR="00F371DE" w:rsidRPr="00F371D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25BA4C75" w14:textId="06377F8C" w:rsidR="00707B8C" w:rsidRPr="008B1B80" w:rsidRDefault="00F371DE" w:rsidP="008B1B80">
            <w:pPr>
              <w:pStyle w:val="aa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針對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使用</w:t>
            </w:r>
            <w:r w:rsidR="00BF0C5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風險效益，</w:t>
            </w:r>
            <w:proofErr w:type="gramStart"/>
            <w:r w:rsidR="00E0004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本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署</w:t>
            </w:r>
            <w:r w:rsidR="00FB3523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綜合</w:t>
            </w:r>
            <w:proofErr w:type="gramEnd"/>
            <w:r w:rsidR="00FB3523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國內、外文獻及國內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="00FB3523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之使用情形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</w:t>
            </w:r>
            <w:proofErr w:type="gramStart"/>
            <w:r w:rsidR="00FB3523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經整體</w:t>
            </w:r>
            <w:proofErr w:type="gramEnd"/>
            <w:r w:rsidR="00FB3523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性評估</w:t>
            </w:r>
            <w:r w:rsidR="00064206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，決議進一步限縮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="00064206" w:rsidRPr="00285FA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適應症</w:t>
            </w:r>
            <w:r w:rsidR="00064206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，統一修訂為「單獨使用</w:t>
            </w:r>
            <w:proofErr w:type="gramStart"/>
            <w:r w:rsidR="00064206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晶質輸注</w:t>
            </w:r>
            <w:proofErr w:type="gramEnd"/>
            <w:r w:rsidR="00064206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液無法治療</w:t>
            </w:r>
            <w:r w:rsidR="00064206" w:rsidRPr="00B16169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且無其他合適替代療法可用</w:t>
            </w:r>
            <w:r w:rsidR="00064206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之急性出血導致之低血容積病人，</w:t>
            </w:r>
            <w:proofErr w:type="gramStart"/>
            <w:r w:rsidR="00064206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本品無</w:t>
            </w:r>
            <w:proofErr w:type="gramEnd"/>
            <w:r w:rsidR="00064206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法取代紅血球及血漿中的凝血因子</w:t>
            </w:r>
            <w:r w:rsidR="00064206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」</w:t>
            </w:r>
            <w:r w:rsidR="00FF649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；</w:t>
            </w:r>
            <w:r w:rsidR="00B40D37" w:rsidRPr="00FF649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特殊</w:t>
            </w:r>
            <w:r w:rsidR="00064206" w:rsidRPr="00285FA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警語</w:t>
            </w:r>
            <w:r w:rsidR="00064206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修訂為「</w:t>
            </w:r>
            <w:r w:rsidR="005E0744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敗血症等重症病人請勿使用，因</w:t>
            </w:r>
            <w:proofErr w:type="gramStart"/>
            <w:r w:rsidR="005E0744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使用本品可能</w:t>
            </w:r>
            <w:proofErr w:type="gramEnd"/>
            <w:r w:rsidR="005E0744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增加致死率及接受腎臟替代療法</w:t>
            </w:r>
            <w:r w:rsidR="005E0744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="005E0744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血液透析</w:t>
            </w:r>
            <w:r w:rsidR="005E0744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="005E0744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的風險。</w:t>
            </w:r>
            <w:proofErr w:type="gramStart"/>
            <w:r w:rsidR="005E0744" w:rsidRPr="00B1616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使用本品前</w:t>
            </w:r>
            <w:proofErr w:type="gramEnd"/>
            <w:r w:rsidR="005E0744" w:rsidRPr="00B1616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須審慎評估，除非無其他合適替代療法可用。請勿</w:t>
            </w:r>
            <w:proofErr w:type="gramStart"/>
            <w:r w:rsidR="005E0744" w:rsidRPr="00B1616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使用本品</w:t>
            </w:r>
            <w:proofErr w:type="gramEnd"/>
            <w:r w:rsidR="00064206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」。</w:t>
            </w:r>
          </w:p>
        </w:tc>
      </w:tr>
      <w:tr w:rsidR="008B1B80" w:rsidRPr="007C2C39" w14:paraId="74711853" w14:textId="77777777" w:rsidTr="00543FB1">
        <w:trPr>
          <w:trHeight w:val="896"/>
          <w:jc w:val="center"/>
        </w:trPr>
        <w:tc>
          <w:tcPr>
            <w:tcW w:w="1988" w:type="dxa"/>
            <w:vAlign w:val="center"/>
          </w:tcPr>
          <w:p w14:paraId="167A4AC8" w14:textId="77777777" w:rsidR="008B1B80" w:rsidRDefault="008B1B80" w:rsidP="008B1B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食品藥物管理署</w:t>
            </w:r>
          </w:p>
          <w:p w14:paraId="5B0DD36F" w14:textId="6C939F23" w:rsidR="008B1B80" w:rsidRPr="005E0744" w:rsidRDefault="008B1B80" w:rsidP="008B1B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風險溝通說明</w:t>
            </w:r>
          </w:p>
        </w:tc>
        <w:tc>
          <w:tcPr>
            <w:tcW w:w="7741" w:type="dxa"/>
          </w:tcPr>
          <w:p w14:paraId="00F695E1" w14:textId="77777777" w:rsidR="005D3309" w:rsidRPr="005D3309" w:rsidRDefault="005D3309" w:rsidP="005D3309">
            <w:pPr>
              <w:widowControl/>
              <w:numPr>
                <w:ilvl w:val="0"/>
                <w:numId w:val="2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D330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u w:val="single"/>
              </w:rPr>
              <w:t>食品藥物管理署說明</w:t>
            </w:r>
            <w:r w:rsidRPr="005D330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</w:p>
          <w:p w14:paraId="3500C589" w14:textId="4342FFD1" w:rsidR="00517221" w:rsidRDefault="005D3309" w:rsidP="00517221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5D330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考量國內不良反應通報案例仍有於</w:t>
            </w:r>
            <w:r w:rsidR="000163A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上述</w:t>
            </w:r>
            <w:r w:rsidRPr="005D330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公告管制措施後使用於禁忌症之情形</w:t>
            </w:r>
            <w:r w:rsidR="0051722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，</w:t>
            </w:r>
            <w:proofErr w:type="gramStart"/>
            <w:r w:rsidR="0051722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經本署彙</w:t>
            </w:r>
            <w:proofErr w:type="gramEnd"/>
            <w:r w:rsidR="0051722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整國內、外相關資料進行整體性評估，評估結果為：我國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成分藥品中文仿單</w:t>
            </w:r>
            <w:r w:rsidR="0051722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應於</w:t>
            </w:r>
            <w:r w:rsidR="00517221" w:rsidRPr="00285FA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適應症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，統一修訂為「單獨使用</w:t>
            </w:r>
            <w:proofErr w:type="gramStart"/>
            <w:r w:rsidR="00517221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晶質輸注液</w:t>
            </w:r>
            <w:proofErr w:type="gramEnd"/>
            <w:r w:rsidR="00517221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無法治療</w:t>
            </w:r>
            <w:r w:rsidR="00517221" w:rsidRPr="00B16169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且無其他合適替代療法可用</w:t>
            </w:r>
            <w:r w:rsidR="00517221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之急性出血導致之低血容積病人，</w:t>
            </w:r>
            <w:proofErr w:type="gramStart"/>
            <w:r w:rsidR="00517221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本品無</w:t>
            </w:r>
            <w:proofErr w:type="gramEnd"/>
            <w:r w:rsidR="00517221" w:rsidRPr="00B161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法取代紅血球及血漿中的凝血因子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」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;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中文仿單</w:t>
            </w:r>
            <w:r w:rsidR="0022074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</w:t>
            </w:r>
            <w:r w:rsidR="00220742" w:rsidRPr="00FF649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特殊</w:t>
            </w:r>
            <w:r w:rsidR="00517221" w:rsidRPr="00285FA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警語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修訂為「敗血症等重症病人請勿使用，因</w:t>
            </w:r>
            <w:proofErr w:type="gramStart"/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使用本品可能</w:t>
            </w:r>
            <w:proofErr w:type="gramEnd"/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增加致死率及接受腎臟替代療法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血液透析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的風險。</w:t>
            </w:r>
            <w:proofErr w:type="gramStart"/>
            <w:r w:rsidR="00517221" w:rsidRPr="00B1616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使用本品前</w:t>
            </w:r>
            <w:proofErr w:type="gramEnd"/>
            <w:r w:rsidR="00517221" w:rsidRPr="00B1616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須審慎評估，除非無其他合適替代療法可用。請勿</w:t>
            </w:r>
            <w:proofErr w:type="gramStart"/>
            <w:r w:rsidR="00517221" w:rsidRPr="00B1616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使用本品</w:t>
            </w:r>
            <w:proofErr w:type="gramEnd"/>
            <w:r w:rsidR="00517221" w:rsidRPr="00B1616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」</w:t>
            </w:r>
            <w:r w:rsidR="0051722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。</w:t>
            </w:r>
          </w:p>
          <w:p w14:paraId="79A6EA4A" w14:textId="49E328AA" w:rsidR="00517221" w:rsidRPr="00616EA2" w:rsidRDefault="00517221" w:rsidP="00517221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為保障民眾用藥安全，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本署已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要求我國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許可證持有商辦理中文仿單變更，並發布此風險溝通表以提醒醫療人員注意相關風險。</w:t>
            </w:r>
          </w:p>
          <w:p w14:paraId="563D6FC7" w14:textId="0007597D" w:rsidR="008B1B80" w:rsidRPr="005E0744" w:rsidRDefault="008B1B80" w:rsidP="008B1B80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E074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</w:rPr>
              <w:t>醫療人員</w:t>
            </w:r>
            <w:r w:rsidRPr="005E07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應注意事項：</w:t>
            </w:r>
          </w:p>
          <w:p w14:paraId="0DF5FF6F" w14:textId="2A9BE736" w:rsidR="008B1B80" w:rsidRDefault="00517221" w:rsidP="008B1B80">
            <w:pPr>
              <w:pStyle w:val="aa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="008B1B8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</w:t>
            </w:r>
            <w:r w:rsidR="008B1B80" w:rsidRPr="00EF438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適應症</w:t>
            </w:r>
            <w:r w:rsidR="008B1B8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修訂為</w:t>
            </w:r>
            <w:r w:rsidR="008B1B80" w:rsidRPr="00EF438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「單獨使用</w:t>
            </w:r>
            <w:proofErr w:type="gramStart"/>
            <w:r w:rsidR="008B1B80" w:rsidRPr="00EF438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晶質輸注液</w:t>
            </w:r>
            <w:proofErr w:type="gramEnd"/>
            <w:r w:rsidR="008B1B80" w:rsidRPr="00EF438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無法治療</w:t>
            </w:r>
            <w:r w:rsidR="008B1B80" w:rsidRPr="00EF438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且無其他合適替代療法可用</w:t>
            </w:r>
            <w:r w:rsidR="008B1B80" w:rsidRPr="00EF438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之急性出血導致之低血容積病人，</w:t>
            </w:r>
            <w:proofErr w:type="gramStart"/>
            <w:r w:rsidR="008B1B80" w:rsidRPr="00EF438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本品無</w:t>
            </w:r>
            <w:proofErr w:type="gramEnd"/>
            <w:r w:rsidR="008B1B80" w:rsidRPr="00EF438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法取代紅血球及血漿中的凝血因子」</w:t>
            </w:r>
            <w:r w:rsidR="008B1B8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，處方前請審慎評估是否符合適應症使用。</w:t>
            </w:r>
          </w:p>
          <w:p w14:paraId="31550C82" w14:textId="7C5CC46C" w:rsidR="008B1B80" w:rsidRDefault="008B1B80" w:rsidP="008B1B80">
            <w:pPr>
              <w:pStyle w:val="aa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70F4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包含敗血症在內之重症患者使用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可能</w:t>
            </w:r>
            <w:r w:rsidRPr="00D70F4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增加死亡率與導致須透析治療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之腎臟損傷風險，處方前應確認病人是否具禁忌症，如為敗血症等重症患者。使用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期間</w:t>
            </w:r>
            <w:bookmarkStart w:id="1" w:name="_Hlk132024797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與停藥後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日內</w:t>
            </w:r>
            <w:bookmarkEnd w:id="1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</w:t>
            </w:r>
            <w:bookmarkStart w:id="2" w:name="_Hlk132024784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密切留意病人臨床狀況並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追蹤其腎功能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，若有發生腎臟損傷</w:t>
            </w:r>
            <w:r w:rsidR="000163A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或凝血功能異常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之徵兆或症狀，應立即停藥並給予適當醫療處置</w:t>
            </w:r>
            <w:bookmarkEnd w:id="2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26CDA022" w14:textId="77777777" w:rsidR="008B1B80" w:rsidRPr="005E0744" w:rsidRDefault="008B1B80" w:rsidP="008B1B80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74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</w:rPr>
              <w:t>病人</w:t>
            </w:r>
            <w:r w:rsidRPr="005E07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應注意事項</w:t>
            </w:r>
            <w:r w:rsidRPr="005E074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14:paraId="39850813" w14:textId="19179D05" w:rsidR="008B1B80" w:rsidRDefault="008B1B80" w:rsidP="008B1B80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我國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 w:rsidRPr="00F371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之適應症修訂為「單獨使用</w:t>
            </w:r>
            <w:proofErr w:type="gramStart"/>
            <w:r w:rsidRPr="00F371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晶質輸注液</w:t>
            </w:r>
            <w:proofErr w:type="gramEnd"/>
            <w:r w:rsidRPr="00F371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無法治療</w:t>
            </w:r>
            <w:r w:rsidRPr="00B85ED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且無其他合適替代療法可用</w:t>
            </w:r>
            <w:r w:rsidRPr="00F371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之急性出血導致之低血容積病人，</w:t>
            </w:r>
            <w:proofErr w:type="gramStart"/>
            <w:r w:rsidRPr="00F371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本品無</w:t>
            </w:r>
            <w:proofErr w:type="gramEnd"/>
            <w:r w:rsidRPr="00F371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法取代紅血球及血漿中的凝血因子」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14:paraId="3F93A4EF" w14:textId="39EF8BE1" w:rsidR="008B1B80" w:rsidRDefault="008B1B80" w:rsidP="008B1B80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使用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HES</w:t>
            </w:r>
            <w:r w:rsidR="0051722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類</w:t>
            </w:r>
            <w:r w:rsidR="00517221" w:rsidRPr="00616E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期間或使用後，若有發生腎臟損傷之相關症狀，如排尿頻率、尿量或顏色改變、血尿、排尿困難、四肢或臉部水腫、異常虛弱或疲倦、噁心、嘔吐或呼吸急促等症狀，請立即就醫或告知醫療人員。</w:t>
            </w:r>
          </w:p>
          <w:p w14:paraId="3C75209E" w14:textId="1E2B2B1C" w:rsidR="008B1B80" w:rsidRPr="00F371DE" w:rsidRDefault="008B1B80" w:rsidP="008B1B80">
            <w:pPr>
              <w:pStyle w:val="aa"/>
              <w:widowControl/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0744">
              <w:rPr>
                <w:rFonts w:ascii="Times New Roman" w:eastAsia="標楷體" w:hAnsi="Times New Roman" w:cs="Times New Roman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5E0744">
              <w:rPr>
                <w:rFonts w:ascii="Times New Roman" w:eastAsia="標楷體" w:hAnsi="Times New Roman" w:cs="Times New Roman"/>
                <w:szCs w:val="24"/>
              </w:rPr>
              <w:t>福利部所建置</w:t>
            </w:r>
            <w:proofErr w:type="gramEnd"/>
            <w:r w:rsidRPr="005E0744">
              <w:rPr>
                <w:rFonts w:ascii="Times New Roman" w:eastAsia="標楷體" w:hAnsi="Times New Roman" w:cs="Times New Roman"/>
                <w:szCs w:val="24"/>
              </w:rPr>
              <w:t>之全國藥物不良反應通報中心，並副知所屬廠商，藥物不良反應通報專線</w:t>
            </w:r>
            <w:r w:rsidRPr="005E0744">
              <w:rPr>
                <w:rFonts w:ascii="Times New Roman" w:eastAsia="標楷體" w:hAnsi="Times New Roman" w:cs="Times New Roman"/>
                <w:szCs w:val="24"/>
              </w:rPr>
              <w:t>02-2396-0100</w:t>
            </w:r>
            <w:r w:rsidRPr="005E0744">
              <w:rPr>
                <w:rFonts w:ascii="Times New Roman" w:eastAsia="標楷體" w:hAnsi="Times New Roman" w:cs="Times New Roman"/>
                <w:szCs w:val="24"/>
              </w:rPr>
              <w:t>，網站：</w:t>
            </w:r>
            <w:hyperlink r:id="rId9" w:history="1">
              <w:r w:rsidRPr="005E0744">
                <w:rPr>
                  <w:rFonts w:ascii="Times New Roman" w:eastAsia="標楷體" w:hAnsi="Times New Roman" w:cs="Times New Roman"/>
                  <w:color w:val="0000FF"/>
                  <w:szCs w:val="24"/>
                  <w:u w:val="single"/>
                </w:rPr>
                <w:t>https://adr.fda.gov.tw</w:t>
              </w:r>
            </w:hyperlink>
            <w:r w:rsidRPr="005E0744">
              <w:rPr>
                <w:rFonts w:ascii="Times New Roman" w:eastAsia="標楷體" w:hAnsi="Times New Roman" w:cs="Times New Roman"/>
                <w:szCs w:val="24"/>
              </w:rPr>
              <w:t>；衛生福利部食品藥物管理署獲知藥品安全訊息時，</w:t>
            </w:r>
            <w:proofErr w:type="gramStart"/>
            <w:r w:rsidRPr="005E0744">
              <w:rPr>
                <w:rFonts w:ascii="Times New Roman" w:eastAsia="標楷體" w:hAnsi="Times New Roman" w:cs="Times New Roman"/>
                <w:szCs w:val="24"/>
              </w:rPr>
              <w:t>均會蒐集</w:t>
            </w:r>
            <w:proofErr w:type="gramEnd"/>
            <w:r w:rsidRPr="005E0744">
              <w:rPr>
                <w:rFonts w:ascii="Times New Roman" w:eastAsia="標楷體" w:hAnsi="Times New Roman" w:cs="Times New Roman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587220EB" w14:textId="7F203255" w:rsidR="005B480E" w:rsidRPr="007C2C39" w:rsidRDefault="005B480E" w:rsidP="00AA4EAD">
      <w:pPr>
        <w:rPr>
          <w:rFonts w:ascii="Times New Roman" w:eastAsia="標楷體" w:hAnsi="Times New Roman" w:cs="Times New Roman"/>
        </w:rPr>
      </w:pPr>
    </w:p>
    <w:sectPr w:rsidR="005B480E" w:rsidRPr="007C2C39" w:rsidSect="00147E19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8AF2" w14:textId="77777777" w:rsidR="006F5994" w:rsidRDefault="006F5994" w:rsidP="005251B1">
      <w:r>
        <w:separator/>
      </w:r>
    </w:p>
  </w:endnote>
  <w:endnote w:type="continuationSeparator" w:id="0">
    <w:p w14:paraId="68B3B25F" w14:textId="77777777" w:rsidR="006F5994" w:rsidRDefault="006F5994" w:rsidP="0052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A2A16" w14:textId="77777777" w:rsidR="006F5994" w:rsidRDefault="006F5994" w:rsidP="005251B1">
      <w:r>
        <w:separator/>
      </w:r>
    </w:p>
  </w:footnote>
  <w:footnote w:type="continuationSeparator" w:id="0">
    <w:p w14:paraId="4981135C" w14:textId="77777777" w:rsidR="006F5994" w:rsidRDefault="006F5994" w:rsidP="0052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6CCA"/>
    <w:multiLevelType w:val="hybridMultilevel"/>
    <w:tmpl w:val="9D80CA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D411971"/>
    <w:multiLevelType w:val="hybridMultilevel"/>
    <w:tmpl w:val="2BFA975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84499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250E7A"/>
    <w:multiLevelType w:val="hybridMultilevel"/>
    <w:tmpl w:val="10CEFA80"/>
    <w:lvl w:ilvl="0" w:tplc="C6C8A328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5255F2"/>
    <w:multiLevelType w:val="hybridMultilevel"/>
    <w:tmpl w:val="B9DA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59310C"/>
    <w:multiLevelType w:val="hybridMultilevel"/>
    <w:tmpl w:val="082CC2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1808C2"/>
    <w:multiLevelType w:val="hybridMultilevel"/>
    <w:tmpl w:val="5072AA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E4252E1"/>
    <w:multiLevelType w:val="hybridMultilevel"/>
    <w:tmpl w:val="98C2E9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1FD7F5C"/>
    <w:multiLevelType w:val="hybridMultilevel"/>
    <w:tmpl w:val="8E14FFC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23B3CD1"/>
    <w:multiLevelType w:val="hybridMultilevel"/>
    <w:tmpl w:val="B9DA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164377"/>
    <w:multiLevelType w:val="hybridMultilevel"/>
    <w:tmpl w:val="D5CEC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C005B3"/>
    <w:multiLevelType w:val="hybridMultilevel"/>
    <w:tmpl w:val="C4D48232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8C"/>
    <w:rsid w:val="00006F92"/>
    <w:rsid w:val="0001413B"/>
    <w:rsid w:val="000163A4"/>
    <w:rsid w:val="0002303E"/>
    <w:rsid w:val="0002547E"/>
    <w:rsid w:val="00026589"/>
    <w:rsid w:val="00037CE9"/>
    <w:rsid w:val="00047369"/>
    <w:rsid w:val="00050A85"/>
    <w:rsid w:val="00053350"/>
    <w:rsid w:val="00057A0C"/>
    <w:rsid w:val="00064206"/>
    <w:rsid w:val="00077433"/>
    <w:rsid w:val="00091ADC"/>
    <w:rsid w:val="00093242"/>
    <w:rsid w:val="00095F30"/>
    <w:rsid w:val="000B7352"/>
    <w:rsid w:val="000C14F4"/>
    <w:rsid w:val="000C192D"/>
    <w:rsid w:val="000D7832"/>
    <w:rsid w:val="000E015E"/>
    <w:rsid w:val="000E18FE"/>
    <w:rsid w:val="000E22A4"/>
    <w:rsid w:val="000F3FAE"/>
    <w:rsid w:val="000F6321"/>
    <w:rsid w:val="00101A4F"/>
    <w:rsid w:val="00104A56"/>
    <w:rsid w:val="0010548A"/>
    <w:rsid w:val="00106621"/>
    <w:rsid w:val="00116D9F"/>
    <w:rsid w:val="00121EFB"/>
    <w:rsid w:val="00133DB7"/>
    <w:rsid w:val="00147E19"/>
    <w:rsid w:val="0015444F"/>
    <w:rsid w:val="00154BAF"/>
    <w:rsid w:val="0017684A"/>
    <w:rsid w:val="00183A23"/>
    <w:rsid w:val="001949ED"/>
    <w:rsid w:val="0019579C"/>
    <w:rsid w:val="001A0D81"/>
    <w:rsid w:val="001A7E96"/>
    <w:rsid w:val="001B10AC"/>
    <w:rsid w:val="001B14BA"/>
    <w:rsid w:val="001B3D70"/>
    <w:rsid w:val="001B56EF"/>
    <w:rsid w:val="001C3B5C"/>
    <w:rsid w:val="001C67F3"/>
    <w:rsid w:val="002045E8"/>
    <w:rsid w:val="00211AF1"/>
    <w:rsid w:val="00220742"/>
    <w:rsid w:val="00226141"/>
    <w:rsid w:val="00230AC1"/>
    <w:rsid w:val="00245FD9"/>
    <w:rsid w:val="00246708"/>
    <w:rsid w:val="00246FE1"/>
    <w:rsid w:val="002508EE"/>
    <w:rsid w:val="00251494"/>
    <w:rsid w:val="0025355A"/>
    <w:rsid w:val="00255A01"/>
    <w:rsid w:val="00266FB9"/>
    <w:rsid w:val="00270ADD"/>
    <w:rsid w:val="0027136D"/>
    <w:rsid w:val="00275D2A"/>
    <w:rsid w:val="00285FAA"/>
    <w:rsid w:val="0029256E"/>
    <w:rsid w:val="002B40BC"/>
    <w:rsid w:val="002C0706"/>
    <w:rsid w:val="002C0CBC"/>
    <w:rsid w:val="002D17D3"/>
    <w:rsid w:val="002D1CE1"/>
    <w:rsid w:val="002E37E3"/>
    <w:rsid w:val="002F28F1"/>
    <w:rsid w:val="002F3045"/>
    <w:rsid w:val="002F54CB"/>
    <w:rsid w:val="00305A48"/>
    <w:rsid w:val="003442F6"/>
    <w:rsid w:val="003478B6"/>
    <w:rsid w:val="00375A86"/>
    <w:rsid w:val="003A6E35"/>
    <w:rsid w:val="003A7764"/>
    <w:rsid w:val="003E4B98"/>
    <w:rsid w:val="004279B3"/>
    <w:rsid w:val="004328CF"/>
    <w:rsid w:val="00433763"/>
    <w:rsid w:val="00433FCB"/>
    <w:rsid w:val="00435BE0"/>
    <w:rsid w:val="00442808"/>
    <w:rsid w:val="00445691"/>
    <w:rsid w:val="00450B7F"/>
    <w:rsid w:val="00451277"/>
    <w:rsid w:val="0046214F"/>
    <w:rsid w:val="00483FC8"/>
    <w:rsid w:val="004A656F"/>
    <w:rsid w:val="004C320F"/>
    <w:rsid w:val="004E55CE"/>
    <w:rsid w:val="004F0656"/>
    <w:rsid w:val="004F2979"/>
    <w:rsid w:val="0050022F"/>
    <w:rsid w:val="00517221"/>
    <w:rsid w:val="00517A79"/>
    <w:rsid w:val="005251B1"/>
    <w:rsid w:val="00531D4D"/>
    <w:rsid w:val="00546314"/>
    <w:rsid w:val="00571103"/>
    <w:rsid w:val="00593F02"/>
    <w:rsid w:val="005A7F37"/>
    <w:rsid w:val="005A7F89"/>
    <w:rsid w:val="005B480E"/>
    <w:rsid w:val="005D1B02"/>
    <w:rsid w:val="005D3309"/>
    <w:rsid w:val="005D4BC8"/>
    <w:rsid w:val="005E0459"/>
    <w:rsid w:val="005E0744"/>
    <w:rsid w:val="005E6DAE"/>
    <w:rsid w:val="005F0B19"/>
    <w:rsid w:val="005F25FC"/>
    <w:rsid w:val="00606652"/>
    <w:rsid w:val="00614839"/>
    <w:rsid w:val="006159CE"/>
    <w:rsid w:val="006162C0"/>
    <w:rsid w:val="00623399"/>
    <w:rsid w:val="00626FC8"/>
    <w:rsid w:val="006319B1"/>
    <w:rsid w:val="00653C65"/>
    <w:rsid w:val="00660867"/>
    <w:rsid w:val="0066267D"/>
    <w:rsid w:val="006742D4"/>
    <w:rsid w:val="00675C71"/>
    <w:rsid w:val="00677D5F"/>
    <w:rsid w:val="00682DD4"/>
    <w:rsid w:val="00685573"/>
    <w:rsid w:val="00694105"/>
    <w:rsid w:val="00695B11"/>
    <w:rsid w:val="006A7DBA"/>
    <w:rsid w:val="006B0452"/>
    <w:rsid w:val="006C3C92"/>
    <w:rsid w:val="006C5023"/>
    <w:rsid w:val="006D30D6"/>
    <w:rsid w:val="006D3457"/>
    <w:rsid w:val="006E7186"/>
    <w:rsid w:val="006F345B"/>
    <w:rsid w:val="006F5994"/>
    <w:rsid w:val="006F7EA6"/>
    <w:rsid w:val="007076A9"/>
    <w:rsid w:val="00707B8C"/>
    <w:rsid w:val="00712D81"/>
    <w:rsid w:val="007247E9"/>
    <w:rsid w:val="00727917"/>
    <w:rsid w:val="0074065B"/>
    <w:rsid w:val="0074184F"/>
    <w:rsid w:val="00743520"/>
    <w:rsid w:val="007443C7"/>
    <w:rsid w:val="007452D8"/>
    <w:rsid w:val="00753C85"/>
    <w:rsid w:val="00785AA6"/>
    <w:rsid w:val="00790184"/>
    <w:rsid w:val="00795BFD"/>
    <w:rsid w:val="007968D8"/>
    <w:rsid w:val="007A15DD"/>
    <w:rsid w:val="007A31B7"/>
    <w:rsid w:val="007C2C39"/>
    <w:rsid w:val="007D3001"/>
    <w:rsid w:val="007D6B39"/>
    <w:rsid w:val="007E664C"/>
    <w:rsid w:val="00811E27"/>
    <w:rsid w:val="0082008F"/>
    <w:rsid w:val="0082517B"/>
    <w:rsid w:val="00844028"/>
    <w:rsid w:val="00846F4D"/>
    <w:rsid w:val="00855965"/>
    <w:rsid w:val="00860D51"/>
    <w:rsid w:val="008632FB"/>
    <w:rsid w:val="008722D1"/>
    <w:rsid w:val="008741A6"/>
    <w:rsid w:val="00874639"/>
    <w:rsid w:val="008764C3"/>
    <w:rsid w:val="0088591D"/>
    <w:rsid w:val="00894069"/>
    <w:rsid w:val="008A3195"/>
    <w:rsid w:val="008B19C4"/>
    <w:rsid w:val="008B1B80"/>
    <w:rsid w:val="008B1CDC"/>
    <w:rsid w:val="008B52DC"/>
    <w:rsid w:val="008E2F56"/>
    <w:rsid w:val="009052A8"/>
    <w:rsid w:val="00912BB5"/>
    <w:rsid w:val="00932246"/>
    <w:rsid w:val="00933134"/>
    <w:rsid w:val="0093510A"/>
    <w:rsid w:val="0093648F"/>
    <w:rsid w:val="00951631"/>
    <w:rsid w:val="00953359"/>
    <w:rsid w:val="00955726"/>
    <w:rsid w:val="00960836"/>
    <w:rsid w:val="00967D54"/>
    <w:rsid w:val="00971147"/>
    <w:rsid w:val="00991820"/>
    <w:rsid w:val="009A3C50"/>
    <w:rsid w:val="009B226C"/>
    <w:rsid w:val="009C4413"/>
    <w:rsid w:val="009D1E16"/>
    <w:rsid w:val="009E56DE"/>
    <w:rsid w:val="009F19F5"/>
    <w:rsid w:val="009F52CF"/>
    <w:rsid w:val="00A10146"/>
    <w:rsid w:val="00A35F4F"/>
    <w:rsid w:val="00A378FD"/>
    <w:rsid w:val="00A5148A"/>
    <w:rsid w:val="00A531DB"/>
    <w:rsid w:val="00A5780C"/>
    <w:rsid w:val="00A579EE"/>
    <w:rsid w:val="00A65C24"/>
    <w:rsid w:val="00A65E47"/>
    <w:rsid w:val="00A67B29"/>
    <w:rsid w:val="00A73C0B"/>
    <w:rsid w:val="00A74634"/>
    <w:rsid w:val="00A816AB"/>
    <w:rsid w:val="00A87FD4"/>
    <w:rsid w:val="00A9078F"/>
    <w:rsid w:val="00AA20EB"/>
    <w:rsid w:val="00AA4EAD"/>
    <w:rsid w:val="00AB1A3F"/>
    <w:rsid w:val="00AB5482"/>
    <w:rsid w:val="00AC7A88"/>
    <w:rsid w:val="00AD657B"/>
    <w:rsid w:val="00B144C6"/>
    <w:rsid w:val="00B16169"/>
    <w:rsid w:val="00B201A2"/>
    <w:rsid w:val="00B20943"/>
    <w:rsid w:val="00B409A2"/>
    <w:rsid w:val="00B40D37"/>
    <w:rsid w:val="00B44F4D"/>
    <w:rsid w:val="00B628AE"/>
    <w:rsid w:val="00B71B62"/>
    <w:rsid w:val="00B73E7C"/>
    <w:rsid w:val="00B8111A"/>
    <w:rsid w:val="00B84FA8"/>
    <w:rsid w:val="00B85EDE"/>
    <w:rsid w:val="00B92269"/>
    <w:rsid w:val="00B9353E"/>
    <w:rsid w:val="00BA4A8B"/>
    <w:rsid w:val="00BA755B"/>
    <w:rsid w:val="00BB71D0"/>
    <w:rsid w:val="00BD06A6"/>
    <w:rsid w:val="00BD42E5"/>
    <w:rsid w:val="00BF0C52"/>
    <w:rsid w:val="00BF1146"/>
    <w:rsid w:val="00C04FC1"/>
    <w:rsid w:val="00C05FEF"/>
    <w:rsid w:val="00C123DF"/>
    <w:rsid w:val="00C20B39"/>
    <w:rsid w:val="00C27809"/>
    <w:rsid w:val="00C31F44"/>
    <w:rsid w:val="00C34B44"/>
    <w:rsid w:val="00C4181A"/>
    <w:rsid w:val="00C43E40"/>
    <w:rsid w:val="00C57C97"/>
    <w:rsid w:val="00C80344"/>
    <w:rsid w:val="00C81B7A"/>
    <w:rsid w:val="00C8650F"/>
    <w:rsid w:val="00C93DF5"/>
    <w:rsid w:val="00CA7B27"/>
    <w:rsid w:val="00CD0D02"/>
    <w:rsid w:val="00CD2773"/>
    <w:rsid w:val="00CD740D"/>
    <w:rsid w:val="00CF0862"/>
    <w:rsid w:val="00CF1B9A"/>
    <w:rsid w:val="00D03FF2"/>
    <w:rsid w:val="00D06B41"/>
    <w:rsid w:val="00D10105"/>
    <w:rsid w:val="00D13D8F"/>
    <w:rsid w:val="00D34AED"/>
    <w:rsid w:val="00D36AA9"/>
    <w:rsid w:val="00D37002"/>
    <w:rsid w:val="00D47CDB"/>
    <w:rsid w:val="00D51176"/>
    <w:rsid w:val="00D66772"/>
    <w:rsid w:val="00D70F4C"/>
    <w:rsid w:val="00D74D79"/>
    <w:rsid w:val="00D76DE5"/>
    <w:rsid w:val="00D84B49"/>
    <w:rsid w:val="00D97775"/>
    <w:rsid w:val="00DB5B05"/>
    <w:rsid w:val="00DD7143"/>
    <w:rsid w:val="00DE2A62"/>
    <w:rsid w:val="00DE5AA5"/>
    <w:rsid w:val="00DE771D"/>
    <w:rsid w:val="00DF4091"/>
    <w:rsid w:val="00DF7D83"/>
    <w:rsid w:val="00E00047"/>
    <w:rsid w:val="00E05B98"/>
    <w:rsid w:val="00E257F5"/>
    <w:rsid w:val="00E37843"/>
    <w:rsid w:val="00E61ABF"/>
    <w:rsid w:val="00E77AC7"/>
    <w:rsid w:val="00E84B46"/>
    <w:rsid w:val="00E90C0F"/>
    <w:rsid w:val="00E91835"/>
    <w:rsid w:val="00EA2980"/>
    <w:rsid w:val="00EA4267"/>
    <w:rsid w:val="00EA6958"/>
    <w:rsid w:val="00EB0F56"/>
    <w:rsid w:val="00EB5DA3"/>
    <w:rsid w:val="00EB5DB6"/>
    <w:rsid w:val="00EB76FF"/>
    <w:rsid w:val="00ED4CA3"/>
    <w:rsid w:val="00EF4389"/>
    <w:rsid w:val="00F1797F"/>
    <w:rsid w:val="00F34368"/>
    <w:rsid w:val="00F371DE"/>
    <w:rsid w:val="00F41249"/>
    <w:rsid w:val="00F46665"/>
    <w:rsid w:val="00F5312A"/>
    <w:rsid w:val="00F553B3"/>
    <w:rsid w:val="00F62418"/>
    <w:rsid w:val="00F7278B"/>
    <w:rsid w:val="00F75B20"/>
    <w:rsid w:val="00F80CE8"/>
    <w:rsid w:val="00F934D7"/>
    <w:rsid w:val="00F96A02"/>
    <w:rsid w:val="00FB3254"/>
    <w:rsid w:val="00FB3523"/>
    <w:rsid w:val="00FB583B"/>
    <w:rsid w:val="00FE0D8C"/>
    <w:rsid w:val="00FE501C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F8766"/>
  <w15:docId w15:val="{A6A49EE6-668E-4FC5-807B-7775C3E1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53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1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1B1"/>
    <w:rPr>
      <w:sz w:val="20"/>
      <w:szCs w:val="20"/>
    </w:rPr>
  </w:style>
  <w:style w:type="table" w:styleId="a9">
    <w:name w:val="Table Grid"/>
    <w:basedOn w:val="a1"/>
    <w:rsid w:val="005251B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6D30D6"/>
  </w:style>
  <w:style w:type="paragraph" w:styleId="aa">
    <w:name w:val="List Paragraph"/>
    <w:basedOn w:val="a"/>
    <w:uiPriority w:val="34"/>
    <w:qFormat/>
    <w:rsid w:val="00951631"/>
    <w:pPr>
      <w:ind w:leftChars="200" w:left="480"/>
    </w:pPr>
  </w:style>
  <w:style w:type="character" w:styleId="ab">
    <w:name w:val="Hyperlink"/>
    <w:basedOn w:val="a0"/>
    <w:uiPriority w:val="99"/>
    <w:unhideWhenUsed/>
    <w:rsid w:val="00B144C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932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FB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r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D984-7CD1-4F40-922D-9DF0B7A4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陳音沅</dc:creator>
  <cp:lastModifiedBy>沈宏璋</cp:lastModifiedBy>
  <cp:revision>2</cp:revision>
  <cp:lastPrinted>2023-04-20T07:03:00Z</cp:lastPrinted>
  <dcterms:created xsi:type="dcterms:W3CDTF">2023-05-19T00:12:00Z</dcterms:created>
  <dcterms:modified xsi:type="dcterms:W3CDTF">2023-05-19T00:12:00Z</dcterms:modified>
</cp:coreProperties>
</file>