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EFC" w:rsidRDefault="00D21EFC" w:rsidP="00F54E70">
      <w:pPr>
        <w:jc w:val="center"/>
        <w:rPr>
          <w:rFonts w:eastAsia="標楷體"/>
          <w:b/>
          <w:bCs/>
          <w:sz w:val="32"/>
          <w:szCs w:val="32"/>
        </w:rPr>
      </w:pPr>
      <w:r>
        <w:rPr>
          <w:rFonts w:eastAsia="標楷體" w:hint="eastAsia"/>
          <w:b/>
          <w:bCs/>
          <w:sz w:val="32"/>
          <w:szCs w:val="32"/>
        </w:rPr>
        <w:t>高榮藥物不良反應小組通告</w:t>
      </w:r>
    </w:p>
    <w:p w:rsidR="00501A5C" w:rsidRDefault="00501A5C" w:rsidP="00E47D6D">
      <w:pPr>
        <w:jc w:val="right"/>
        <w:rPr>
          <w:rFonts w:eastAsia="標楷體"/>
          <w:sz w:val="28"/>
        </w:rPr>
      </w:pPr>
      <w:bookmarkStart w:id="0" w:name="OLE_LINK2"/>
      <w:r>
        <w:rPr>
          <w:rFonts w:eastAsia="標楷體" w:hint="eastAsia"/>
          <w:szCs w:val="32"/>
        </w:rPr>
        <w:t xml:space="preserve">  </w:t>
      </w:r>
      <w:r>
        <w:rPr>
          <w:rFonts w:eastAsia="標楷體" w:hint="eastAsia"/>
          <w:szCs w:val="32"/>
        </w:rPr>
        <w:t>日期</w:t>
      </w:r>
      <w:r w:rsidR="00D940E1">
        <w:rPr>
          <w:rFonts w:eastAsia="標楷體" w:hint="eastAsia"/>
          <w:szCs w:val="32"/>
        </w:rPr>
        <w:t>: 2018</w:t>
      </w:r>
      <w:r>
        <w:rPr>
          <w:rFonts w:eastAsia="標楷體" w:hint="eastAsia"/>
          <w:szCs w:val="32"/>
        </w:rPr>
        <w:t>/</w:t>
      </w:r>
      <w:r w:rsidR="00FD59E1">
        <w:rPr>
          <w:rFonts w:eastAsia="標楷體" w:hint="eastAsia"/>
          <w:szCs w:val="32"/>
        </w:rPr>
        <w:t>5</w:t>
      </w:r>
      <w:r w:rsidR="00F54E70">
        <w:rPr>
          <w:rFonts w:eastAsia="標楷體" w:hint="eastAsia"/>
          <w:szCs w:val="32"/>
        </w:rPr>
        <w:t>/</w:t>
      </w:r>
      <w:r w:rsidR="00FD59E1">
        <w:rPr>
          <w:rFonts w:eastAsia="標楷體" w:hint="eastAsia"/>
          <w:szCs w:val="32"/>
        </w:rPr>
        <w:t>16</w:t>
      </w:r>
    </w:p>
    <w:tbl>
      <w:tblPr>
        <w:tblW w:w="9997" w:type="dxa"/>
        <w:jc w:val="center"/>
        <w:tblInd w:w="-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09"/>
        <w:gridCol w:w="9288"/>
      </w:tblGrid>
      <w:tr w:rsidR="00501A5C" w:rsidRPr="00407F13" w:rsidTr="00802F2E">
        <w:trPr>
          <w:trHeight w:val="1061"/>
          <w:jc w:val="center"/>
        </w:trPr>
        <w:tc>
          <w:tcPr>
            <w:tcW w:w="709" w:type="dxa"/>
            <w:vAlign w:val="center"/>
          </w:tcPr>
          <w:p w:rsidR="00501A5C" w:rsidRPr="008845BA" w:rsidRDefault="00501A5C">
            <w:pPr>
              <w:jc w:val="center"/>
              <w:rPr>
                <w:rFonts w:eastAsia="標楷體"/>
                <w:color w:val="000000"/>
                <w:sz w:val="28"/>
              </w:rPr>
            </w:pPr>
            <w:r w:rsidRPr="008845BA">
              <w:rPr>
                <w:rFonts w:eastAsia="標楷體" w:hint="eastAsia"/>
                <w:color w:val="000000"/>
                <w:sz w:val="28"/>
              </w:rPr>
              <w:t>主旨</w:t>
            </w:r>
          </w:p>
        </w:tc>
        <w:tc>
          <w:tcPr>
            <w:tcW w:w="9288" w:type="dxa"/>
            <w:vAlign w:val="center"/>
          </w:tcPr>
          <w:p w:rsidR="00501A5C" w:rsidRPr="006407F5" w:rsidRDefault="00314EE9" w:rsidP="002461FD">
            <w:pPr>
              <w:spacing w:line="360" w:lineRule="auto"/>
              <w:rPr>
                <w:rFonts w:eastAsia="標楷體"/>
                <w:b/>
                <w:bCs/>
              </w:rPr>
            </w:pPr>
            <w:r w:rsidRPr="00314EE9">
              <w:rPr>
                <w:rFonts w:eastAsia="標楷體" w:hint="eastAsia"/>
                <w:b/>
                <w:bCs/>
              </w:rPr>
              <w:t>轉載</w:t>
            </w:r>
            <w:r w:rsidR="00FD59E1" w:rsidRPr="00FD59E1">
              <w:rPr>
                <w:rFonts w:eastAsia="標楷體" w:hint="eastAsia"/>
                <w:b/>
                <w:bCs/>
              </w:rPr>
              <w:t>台灣衛生福利部食品藥物管理署</w:t>
            </w:r>
            <w:r w:rsidR="00802F2E" w:rsidRPr="00802F2E">
              <w:rPr>
                <w:rFonts w:eastAsia="標楷體" w:hint="eastAsia"/>
                <w:b/>
                <w:bCs/>
              </w:rPr>
              <w:t>(TFDA)</w:t>
            </w:r>
            <w:r w:rsidR="009F512D" w:rsidRPr="009F512D">
              <w:rPr>
                <w:rFonts w:eastAsia="標楷體" w:hint="eastAsia"/>
                <w:b/>
                <w:bCs/>
              </w:rPr>
              <w:t>公告</w:t>
            </w:r>
            <w:r w:rsidR="00FD59E1">
              <w:rPr>
                <w:rFonts w:eastAsia="標楷體" w:hint="eastAsia"/>
                <w:b/>
                <w:bCs/>
              </w:rPr>
              <w:t>含</w:t>
            </w:r>
            <w:r w:rsidR="00FD59E1">
              <w:rPr>
                <w:rFonts w:eastAsia="標楷體" w:hint="eastAsia"/>
                <w:b/>
                <w:bCs/>
              </w:rPr>
              <w:t>Methotrexate</w:t>
            </w:r>
            <w:r w:rsidR="009F512D" w:rsidRPr="009F512D">
              <w:rPr>
                <w:rFonts w:eastAsia="標楷體" w:hint="eastAsia"/>
                <w:b/>
                <w:bCs/>
              </w:rPr>
              <w:t>之</w:t>
            </w:r>
            <w:r w:rsidR="007D221F">
              <w:rPr>
                <w:rFonts w:eastAsia="標楷體" w:hint="eastAsia"/>
                <w:b/>
                <w:bCs/>
              </w:rPr>
              <w:t>藥品</w:t>
            </w:r>
            <w:r w:rsidRPr="00314EE9">
              <w:rPr>
                <w:rFonts w:eastAsia="標楷體" w:hint="eastAsia"/>
                <w:b/>
                <w:bCs/>
              </w:rPr>
              <w:t>安全資訊</w:t>
            </w:r>
            <w:r w:rsidR="0003136C" w:rsidRPr="0003136C">
              <w:rPr>
                <w:rFonts w:eastAsia="標楷體" w:hint="eastAsia"/>
                <w:b/>
                <w:bCs/>
                <w:color w:val="000000"/>
              </w:rPr>
              <w:t>。</w:t>
            </w:r>
          </w:p>
        </w:tc>
      </w:tr>
      <w:tr w:rsidR="00501A5C" w:rsidRPr="00EE3775" w:rsidTr="00802F2E">
        <w:trPr>
          <w:trHeight w:val="3045"/>
          <w:jc w:val="center"/>
        </w:trPr>
        <w:tc>
          <w:tcPr>
            <w:tcW w:w="709" w:type="dxa"/>
            <w:vAlign w:val="center"/>
          </w:tcPr>
          <w:p w:rsidR="00501A5C" w:rsidRPr="001B3E62" w:rsidRDefault="00501A5C" w:rsidP="008E0C80">
            <w:pPr>
              <w:rPr>
                <w:rFonts w:eastAsia="標楷體"/>
              </w:rPr>
            </w:pPr>
            <w:r w:rsidRPr="001B3E62">
              <w:rPr>
                <w:rFonts w:eastAsia="標楷體"/>
              </w:rPr>
              <w:t>說明</w:t>
            </w:r>
          </w:p>
        </w:tc>
        <w:tc>
          <w:tcPr>
            <w:tcW w:w="9288" w:type="dxa"/>
          </w:tcPr>
          <w:p w:rsidR="00FD59E1" w:rsidRPr="00FD59E1" w:rsidRDefault="00D940E1" w:rsidP="007F5705">
            <w:pPr>
              <w:pStyle w:val="Web"/>
              <w:numPr>
                <w:ilvl w:val="0"/>
                <w:numId w:val="1"/>
              </w:numPr>
              <w:spacing w:before="0" w:beforeAutospacing="0" w:after="0" w:afterAutospacing="0" w:line="360" w:lineRule="auto"/>
              <w:jc w:val="both"/>
              <w:rPr>
                <w:rFonts w:ascii="Times New Roman" w:eastAsia="標楷體" w:hAnsi="Arial" w:cs="Times New Roman" w:hint="eastAsia"/>
              </w:rPr>
            </w:pPr>
            <w:r>
              <w:rPr>
                <w:rFonts w:ascii="Times New Roman" w:eastAsia="標楷體" w:hAnsi="Times New Roman" w:cs="Times New Roman"/>
              </w:rPr>
              <w:t>201</w:t>
            </w:r>
            <w:r>
              <w:rPr>
                <w:rFonts w:ascii="Times New Roman" w:eastAsia="標楷體" w:hAnsi="Times New Roman" w:cs="Times New Roman" w:hint="eastAsia"/>
              </w:rPr>
              <w:t>8</w:t>
            </w:r>
            <w:r w:rsidR="00501A5C" w:rsidRPr="00A33BE8">
              <w:rPr>
                <w:rFonts w:ascii="Times New Roman" w:eastAsia="標楷體" w:hAnsi="Times New Roman" w:cs="Times New Roman"/>
              </w:rPr>
              <w:t>/</w:t>
            </w:r>
            <w:r w:rsidR="00FD59E1">
              <w:rPr>
                <w:rFonts w:ascii="Times New Roman" w:eastAsia="標楷體" w:hAnsi="Times New Roman" w:cs="Times New Roman" w:hint="eastAsia"/>
              </w:rPr>
              <w:t>5</w:t>
            </w:r>
            <w:r w:rsidR="00501A5C" w:rsidRPr="00A33BE8">
              <w:rPr>
                <w:rFonts w:ascii="Times New Roman" w:eastAsia="標楷體" w:hAnsi="Times New Roman" w:cs="Times New Roman"/>
              </w:rPr>
              <w:t>/</w:t>
            </w:r>
            <w:r w:rsidR="00FD59E1">
              <w:rPr>
                <w:rFonts w:ascii="Times New Roman" w:eastAsia="標楷體" w:hAnsi="Times New Roman" w:cs="Times New Roman" w:hint="eastAsia"/>
              </w:rPr>
              <w:t>14</w:t>
            </w:r>
            <w:r w:rsidR="00501A5C" w:rsidRPr="00A33BE8">
              <w:rPr>
                <w:rFonts w:ascii="Times New Roman" w:eastAsia="標楷體" w:hAnsi="Times New Roman" w:cs="Times New Roman"/>
              </w:rPr>
              <w:t xml:space="preserve">: </w:t>
            </w:r>
            <w:r w:rsidR="00802F2E">
              <w:rPr>
                <w:rFonts w:ascii="Times New Roman" w:eastAsia="標楷體" w:hAnsi="Times New Roman" w:cs="Times New Roman" w:hint="eastAsia"/>
              </w:rPr>
              <w:t>TFDA</w:t>
            </w:r>
            <w:r w:rsidR="00501A5C" w:rsidRPr="00A33BE8">
              <w:rPr>
                <w:rFonts w:ascii="Times New Roman" w:eastAsia="標楷體" w:hAnsi="Times New Roman" w:cs="Times New Roman"/>
                <w:spacing w:val="12"/>
              </w:rPr>
              <w:t>公告</w:t>
            </w:r>
            <w:r w:rsidR="00FD59E1" w:rsidRPr="00FD59E1">
              <w:rPr>
                <w:rFonts w:ascii="Times New Roman" w:eastAsia="標楷體" w:hAnsi="Times New Roman" w:cs="Times New Roman" w:hint="eastAsia"/>
                <w:shd w:val="clear" w:color="auto" w:fill="FFFFFF"/>
              </w:rPr>
              <w:t>含</w:t>
            </w:r>
            <w:r w:rsidR="00FD59E1" w:rsidRPr="00FD59E1">
              <w:rPr>
                <w:rFonts w:ascii="Times New Roman" w:eastAsia="標楷體" w:hAnsi="Times New Roman" w:cs="Times New Roman" w:hint="eastAsia"/>
                <w:shd w:val="clear" w:color="auto" w:fill="FFFFFF"/>
              </w:rPr>
              <w:t>methotrexate</w:t>
            </w:r>
            <w:r w:rsidR="00FD59E1" w:rsidRPr="00FD59E1">
              <w:rPr>
                <w:rFonts w:ascii="Times New Roman" w:eastAsia="標楷體" w:hAnsi="Times New Roman" w:cs="Times New Roman" w:hint="eastAsia"/>
                <w:shd w:val="clear" w:color="auto" w:fill="FFFFFF"/>
              </w:rPr>
              <w:t>成分</w:t>
            </w:r>
            <w:r w:rsidR="002461FD" w:rsidRPr="002461FD">
              <w:rPr>
                <w:rFonts w:ascii="Times New Roman" w:eastAsia="標楷體" w:hAnsi="Times New Roman" w:cs="Times New Roman" w:hint="eastAsia"/>
                <w:spacing w:val="12"/>
              </w:rPr>
              <w:t>藥品安全資訊風險溝通表</w:t>
            </w:r>
            <w:r w:rsidR="002461FD">
              <w:rPr>
                <w:rFonts w:ascii="Times New Roman" w:eastAsia="標楷體" w:hAnsi="Times New Roman" w:cs="Times New Roman" w:hint="eastAsia"/>
                <w:spacing w:val="12"/>
              </w:rPr>
              <w:t>。</w:t>
            </w:r>
          </w:p>
          <w:p w:rsidR="00CC65F6" w:rsidRPr="00CC65F6" w:rsidRDefault="001C42D2" w:rsidP="00FD59E1">
            <w:pPr>
              <w:pStyle w:val="Web"/>
              <w:spacing w:before="0" w:beforeAutospacing="0" w:after="0" w:afterAutospacing="0" w:line="360" w:lineRule="auto"/>
              <w:ind w:left="480"/>
              <w:jc w:val="both"/>
              <w:rPr>
                <w:rFonts w:ascii="Times New Roman" w:eastAsia="標楷體" w:hAnsi="Arial" w:cs="Times New Roman"/>
              </w:rPr>
            </w:pPr>
            <w:r>
              <w:rPr>
                <w:rFonts w:ascii="Times New Roman" w:eastAsia="標楷體" w:hAnsi="Times New Roman" w:cs="Times New Roman" w:hint="eastAsia"/>
                <w:spacing w:val="12"/>
              </w:rPr>
              <w:t>訊息</w:t>
            </w:r>
            <w:r w:rsidR="00671280">
              <w:rPr>
                <w:rFonts w:ascii="Times New Roman" w:eastAsia="標楷體" w:hAnsi="Times New Roman" w:cs="Times New Roman" w:hint="eastAsia"/>
                <w:spacing w:val="12"/>
              </w:rPr>
              <w:t>緣自</w:t>
            </w:r>
            <w:r w:rsidR="00FD59E1">
              <w:rPr>
                <w:rFonts w:ascii="Times New Roman" w:eastAsia="標楷體" w:hAnsi="Times New Roman" w:cs="Times New Roman"/>
                <w:shd w:val="clear" w:color="auto" w:fill="FFFFFF"/>
              </w:rPr>
              <w:t>2018/</w:t>
            </w:r>
            <w:r w:rsidR="00FD59E1">
              <w:rPr>
                <w:rFonts w:ascii="Times New Roman" w:eastAsia="標楷體" w:hAnsi="Times New Roman" w:cs="Times New Roman" w:hint="eastAsia"/>
                <w:shd w:val="clear" w:color="auto" w:fill="FFFFFF"/>
              </w:rPr>
              <w:t>4</w:t>
            </w:r>
            <w:r w:rsidR="00FD59E1">
              <w:rPr>
                <w:rFonts w:ascii="Times New Roman" w:eastAsia="標楷體" w:hAnsi="Times New Roman" w:cs="Times New Roman"/>
                <w:shd w:val="clear" w:color="auto" w:fill="FFFFFF"/>
              </w:rPr>
              <w:t>/</w:t>
            </w:r>
            <w:r w:rsidR="00FD59E1">
              <w:rPr>
                <w:rFonts w:ascii="Times New Roman" w:eastAsia="標楷體" w:hAnsi="Times New Roman" w:cs="Times New Roman" w:hint="eastAsia"/>
                <w:shd w:val="clear" w:color="auto" w:fill="FFFFFF"/>
              </w:rPr>
              <w:t>13</w:t>
            </w:r>
            <w:r w:rsidR="00FD59E1" w:rsidRPr="00913422">
              <w:rPr>
                <w:rFonts w:ascii="Times New Roman" w:eastAsia="標楷體" w:hAnsi="Times New Roman" w:cs="Times New Roman"/>
                <w:shd w:val="clear" w:color="auto" w:fill="FFFFFF"/>
              </w:rPr>
              <w:t>歐盟</w:t>
            </w:r>
            <w:r w:rsidR="00FD59E1" w:rsidRPr="00913422">
              <w:rPr>
                <w:rFonts w:ascii="Times New Roman" w:eastAsia="標楷體" w:hAnsi="Times New Roman" w:cs="Times New Roman"/>
                <w:shd w:val="clear" w:color="auto" w:fill="FFFFFF"/>
              </w:rPr>
              <w:t>EMA</w:t>
            </w:r>
            <w:r w:rsidR="00FD59E1" w:rsidRPr="00FD59E1">
              <w:rPr>
                <w:rFonts w:ascii="Times New Roman" w:eastAsia="標楷體" w:hAnsi="Times New Roman" w:cs="Times New Roman" w:hint="eastAsia"/>
                <w:spacing w:val="12"/>
              </w:rPr>
              <w:t>針對</w:t>
            </w:r>
            <w:r w:rsidR="00FD59E1">
              <w:rPr>
                <w:rFonts w:ascii="Times New Roman" w:eastAsia="標楷體" w:hAnsi="Times New Roman" w:cs="Times New Roman" w:hint="eastAsia"/>
                <w:spacing w:val="12"/>
              </w:rPr>
              <w:t>含</w:t>
            </w:r>
            <w:r w:rsidR="00FD59E1">
              <w:rPr>
                <w:rFonts w:ascii="Times New Roman" w:eastAsia="標楷體" w:hAnsi="Times New Roman" w:cs="Times New Roman" w:hint="eastAsia"/>
                <w:spacing w:val="12"/>
              </w:rPr>
              <w:t>methotrexate</w:t>
            </w:r>
            <w:r w:rsidR="00E84DA6">
              <w:rPr>
                <w:rFonts w:ascii="Times New Roman" w:eastAsia="標楷體" w:hAnsi="Times New Roman" w:cs="Times New Roman" w:hint="eastAsia"/>
                <w:spacing w:val="12"/>
              </w:rPr>
              <w:t>用藥錯誤之風險進行再評估</w:t>
            </w:r>
            <w:r w:rsidR="00FD59E1">
              <w:rPr>
                <w:rFonts w:ascii="Times New Roman" w:eastAsia="標楷體" w:hAnsi="Times New Roman" w:cs="Times New Roman" w:hint="eastAsia"/>
                <w:spacing w:val="12"/>
              </w:rPr>
              <w:t>。</w:t>
            </w:r>
          </w:p>
          <w:p w:rsidR="007F5705" w:rsidRPr="00CC65F6" w:rsidRDefault="00FD59E1" w:rsidP="00CC65F6">
            <w:pPr>
              <w:pStyle w:val="Web"/>
              <w:numPr>
                <w:ilvl w:val="0"/>
                <w:numId w:val="3"/>
              </w:numPr>
              <w:spacing w:before="0" w:beforeAutospacing="0" w:after="0" w:afterAutospacing="0" w:line="360" w:lineRule="auto"/>
              <w:jc w:val="both"/>
              <w:rPr>
                <w:rFonts w:ascii="Times New Roman" w:eastAsia="標楷體" w:hAnsi="Arial" w:cs="Times New Roman"/>
              </w:rPr>
            </w:pPr>
            <w:r w:rsidRPr="00FD59E1">
              <w:rPr>
                <w:rFonts w:ascii="Times New Roman" w:eastAsia="標楷體" w:hAnsi="Times New Roman" w:hint="eastAsia"/>
                <w:shd w:val="clear" w:color="auto" w:fill="FFFFFF"/>
              </w:rPr>
              <w:t>含</w:t>
            </w:r>
            <w:r w:rsidRPr="00FD59E1">
              <w:rPr>
                <w:rFonts w:ascii="Times New Roman" w:eastAsia="標楷體" w:hAnsi="Times New Roman" w:hint="eastAsia"/>
                <w:shd w:val="clear" w:color="auto" w:fill="FFFFFF"/>
              </w:rPr>
              <w:t>methotrexate</w:t>
            </w:r>
            <w:r w:rsidRPr="00FD59E1">
              <w:rPr>
                <w:rFonts w:ascii="Times New Roman" w:eastAsia="標楷體" w:hAnsi="Times New Roman" w:hint="eastAsia"/>
                <w:shd w:val="clear" w:color="auto" w:fill="FFFFFF"/>
              </w:rPr>
              <w:t>藥品可用於治療發炎性疾病（如：牛皮癬等）及癌症（如：白血病等），用於治療發炎性疾病時，大多是每週服藥一次；而用於治療癌症時，通常會給予較高的劑量並增加用藥頻率。</w:t>
            </w:r>
          </w:p>
          <w:p w:rsidR="00FD59E1" w:rsidRPr="00FD59E1" w:rsidRDefault="00FD59E1" w:rsidP="00FD59E1">
            <w:pPr>
              <w:pStyle w:val="Web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eastAsia="標楷體" w:hAnsi="Times New Roman" w:hint="eastAsia"/>
                <w:shd w:val="clear" w:color="auto" w:fill="FFFFFF"/>
              </w:rPr>
            </w:pPr>
            <w:r w:rsidRPr="00FD59E1">
              <w:rPr>
                <w:rFonts w:ascii="Times New Roman" w:eastAsia="標楷體" w:hAnsi="Times New Roman" w:hint="eastAsia"/>
                <w:b/>
                <w:u w:val="single"/>
                <w:shd w:val="clear" w:color="auto" w:fill="FFFFFF"/>
              </w:rPr>
              <w:t>若應每週服藥的病人錯誤地每天服藥</w:t>
            </w:r>
            <w:r w:rsidRPr="00FD59E1">
              <w:rPr>
                <w:rFonts w:ascii="Times New Roman" w:eastAsia="標楷體" w:hAnsi="Times New Roman" w:hint="eastAsia"/>
                <w:shd w:val="clear" w:color="auto" w:fill="FFFFFF"/>
              </w:rPr>
              <w:t>，將造成</w:t>
            </w:r>
            <w:r w:rsidRPr="00FD59E1">
              <w:rPr>
                <w:rFonts w:ascii="Times New Roman" w:eastAsia="標楷體" w:hAnsi="Times New Roman" w:hint="eastAsia"/>
                <w:shd w:val="clear" w:color="auto" w:fill="FFFFFF"/>
              </w:rPr>
              <w:t>methotrexate</w:t>
            </w:r>
            <w:r w:rsidRPr="00FD59E1">
              <w:rPr>
                <w:rFonts w:ascii="Times New Roman" w:eastAsia="標楷體" w:hAnsi="Times New Roman" w:hint="eastAsia"/>
                <w:shd w:val="clear" w:color="auto" w:fill="FFFFFF"/>
              </w:rPr>
              <w:t>過量而發生嚴重的後果。</w:t>
            </w:r>
          </w:p>
          <w:p w:rsidR="007D221F" w:rsidRPr="00CC65F6" w:rsidRDefault="00FD59E1" w:rsidP="00FD59E1">
            <w:pPr>
              <w:pStyle w:val="Web"/>
              <w:numPr>
                <w:ilvl w:val="0"/>
                <w:numId w:val="3"/>
              </w:numPr>
              <w:spacing w:before="0" w:beforeAutospacing="0" w:after="0" w:afterAutospacing="0" w:line="360" w:lineRule="auto"/>
              <w:jc w:val="both"/>
              <w:rPr>
                <w:rFonts w:ascii="Times New Roman" w:eastAsia="標楷體" w:hAnsi="Arial" w:cs="Times New Roman"/>
              </w:rPr>
            </w:pPr>
            <w:r w:rsidRPr="00FD59E1">
              <w:rPr>
                <w:rFonts w:ascii="Times New Roman" w:eastAsia="標楷體" w:hAnsi="Times New Roman" w:hint="eastAsia"/>
                <w:shd w:val="clear" w:color="auto" w:fill="FFFFFF"/>
              </w:rPr>
              <w:t>含</w:t>
            </w:r>
            <w:r w:rsidRPr="00FD59E1">
              <w:rPr>
                <w:rFonts w:ascii="Times New Roman" w:eastAsia="標楷體" w:hAnsi="Times New Roman" w:hint="eastAsia"/>
                <w:shd w:val="clear" w:color="auto" w:fill="FFFFFF"/>
              </w:rPr>
              <w:t>methotrexate</w:t>
            </w:r>
            <w:r w:rsidRPr="00FD59E1">
              <w:rPr>
                <w:rFonts w:ascii="Times New Roman" w:eastAsia="標楷體" w:hAnsi="Times New Roman" w:hint="eastAsia"/>
                <w:shd w:val="clear" w:color="auto" w:fill="FFFFFF"/>
              </w:rPr>
              <w:t>藥品用藥錯誤之風險屬已知風險，各國均已採取相關風險管控措施，惟歐盟</w:t>
            </w:r>
            <w:r w:rsidRPr="00FD59E1">
              <w:rPr>
                <w:rFonts w:ascii="Times New Roman" w:eastAsia="標楷體" w:hAnsi="Times New Roman" w:hint="eastAsia"/>
                <w:shd w:val="clear" w:color="auto" w:fill="FFFFFF"/>
              </w:rPr>
              <w:t>EMA</w:t>
            </w:r>
            <w:r w:rsidRPr="00FD59E1">
              <w:rPr>
                <w:rFonts w:ascii="Times New Roman" w:eastAsia="標楷體" w:hAnsi="Times New Roman" w:hint="eastAsia"/>
                <w:shd w:val="clear" w:color="auto" w:fill="FFFFFF"/>
              </w:rPr>
              <w:t>近期的評估發現仍持續有因過量造成嚴重不良反應的通報案例，其中亦包含死亡案例。</w:t>
            </w:r>
          </w:p>
          <w:p w:rsidR="00D940E1" w:rsidRDefault="00D91876" w:rsidP="00D940E1">
            <w:pPr>
              <w:pStyle w:val="Web"/>
              <w:numPr>
                <w:ilvl w:val="0"/>
                <w:numId w:val="1"/>
              </w:numPr>
              <w:spacing w:before="0" w:beforeAutospacing="0" w:after="0" w:afterAutospacing="0" w:line="360" w:lineRule="auto"/>
              <w:jc w:val="both"/>
              <w:rPr>
                <w:rFonts w:ascii="Times New Roman" w:eastAsia="標楷體" w:hAnsi="Arial" w:cs="Times New Roman"/>
              </w:rPr>
            </w:pPr>
            <w:r>
              <w:rPr>
                <w:rFonts w:ascii="Times New Roman" w:eastAsia="標楷體" w:hAnsi="Arial" w:cs="Times New Roman" w:hint="eastAsia"/>
              </w:rPr>
              <w:t>國內</w:t>
            </w:r>
            <w:r w:rsidR="00FD59E1" w:rsidRPr="00FD59E1">
              <w:rPr>
                <w:rFonts w:ascii="Times New Roman" w:eastAsia="標楷體" w:hAnsi="Times New Roman" w:hint="eastAsia"/>
                <w:shd w:val="clear" w:color="auto" w:fill="FFFFFF"/>
              </w:rPr>
              <w:t>含</w:t>
            </w:r>
            <w:r w:rsidR="00FD59E1" w:rsidRPr="00FD59E1">
              <w:rPr>
                <w:rFonts w:ascii="Times New Roman" w:eastAsia="標楷體" w:hAnsi="Times New Roman" w:hint="eastAsia"/>
                <w:shd w:val="clear" w:color="auto" w:fill="FFFFFF"/>
              </w:rPr>
              <w:t>methotrexate</w:t>
            </w:r>
            <w:r w:rsidR="00FD59E1" w:rsidRPr="00FD59E1">
              <w:rPr>
                <w:rFonts w:ascii="Times New Roman" w:eastAsia="標楷體" w:hAnsi="Times New Roman" w:hint="eastAsia"/>
                <w:shd w:val="clear" w:color="auto" w:fill="FFFFFF"/>
              </w:rPr>
              <w:t>藥品</w:t>
            </w:r>
            <w:r w:rsidR="00FD59E1">
              <w:rPr>
                <w:rFonts w:ascii="Times New Roman" w:eastAsia="標楷體" w:hAnsi="Arial" w:cs="Times New Roman" w:hint="eastAsia"/>
              </w:rPr>
              <w:t>中文仿單已於「警語」</w:t>
            </w:r>
            <w:r w:rsidR="00FD59E1" w:rsidRPr="00FD59E1">
              <w:rPr>
                <w:rFonts w:ascii="Times New Roman" w:eastAsia="標楷體" w:hAnsi="Arial" w:cs="Times New Roman" w:hint="eastAsia"/>
              </w:rPr>
              <w:t>刊載「</w:t>
            </w:r>
            <w:r w:rsidR="00FD59E1" w:rsidRPr="00FD59E1">
              <w:rPr>
                <w:rFonts w:ascii="Times New Roman" w:eastAsia="標楷體" w:hAnsi="Arial" w:cs="Times New Roman" w:hint="eastAsia"/>
                <w:b/>
                <w:u w:val="single"/>
              </w:rPr>
              <w:t>應明確告訴病人治療牛皮癬大部份都是一個禮拜服藥一次</w:t>
            </w:r>
            <w:r w:rsidR="00FD59E1" w:rsidRPr="00FD59E1">
              <w:rPr>
                <w:rFonts w:ascii="Times New Roman" w:eastAsia="標楷體" w:hAnsi="Arial" w:cs="Times New Roman" w:hint="eastAsia"/>
              </w:rPr>
              <w:t>，處方可規</w:t>
            </w:r>
            <w:r w:rsidR="00FD59E1">
              <w:rPr>
                <w:rFonts w:ascii="Times New Roman" w:eastAsia="標楷體" w:hAnsi="Arial" w:cs="Times New Roman" w:hint="eastAsia"/>
              </w:rPr>
              <w:t>定服藥日。若錯誤的每天服用會造成嚴重的毒性反應」；並於「過量」</w:t>
            </w:r>
            <w:r w:rsidR="00FD59E1" w:rsidRPr="00FD59E1">
              <w:rPr>
                <w:rFonts w:ascii="Times New Roman" w:eastAsia="標楷體" w:hAnsi="Arial" w:cs="Times New Roman" w:hint="eastAsia"/>
              </w:rPr>
              <w:t>刊載「</w:t>
            </w:r>
            <w:r w:rsidR="00FD59E1" w:rsidRPr="00FD59E1">
              <w:rPr>
                <w:rFonts w:ascii="Times New Roman" w:eastAsia="標楷體" w:hAnsi="Arial" w:cs="Times New Roman" w:hint="eastAsia"/>
              </w:rPr>
              <w:t>Methotrexate</w:t>
            </w:r>
            <w:r w:rsidR="00FD59E1" w:rsidRPr="00FD59E1">
              <w:rPr>
                <w:rFonts w:ascii="Times New Roman" w:eastAsia="標楷體" w:hAnsi="Arial" w:cs="Times New Roman" w:hint="eastAsia"/>
              </w:rPr>
              <w:t>過量有時是致命的，曾有應每週服用但錯誤地每天服用</w:t>
            </w:r>
            <w:r w:rsidR="00FD59E1" w:rsidRPr="00FD59E1">
              <w:rPr>
                <w:rFonts w:ascii="Times New Roman" w:eastAsia="標楷體" w:hAnsi="Arial" w:cs="Times New Roman" w:hint="eastAsia"/>
              </w:rPr>
              <w:t>methotrexate</w:t>
            </w:r>
            <w:r w:rsidR="00FD59E1" w:rsidRPr="00FD59E1">
              <w:rPr>
                <w:rFonts w:ascii="Times New Roman" w:eastAsia="標楷體" w:hAnsi="Arial" w:cs="Times New Roman" w:hint="eastAsia"/>
              </w:rPr>
              <w:t>而致死的報導，常見症狀是血液和胃腸症狀的不良反應」。</w:t>
            </w:r>
          </w:p>
          <w:p w:rsidR="002B7352" w:rsidRPr="00743BC1" w:rsidRDefault="00671280" w:rsidP="002B7352">
            <w:pPr>
              <w:pStyle w:val="Web"/>
              <w:numPr>
                <w:ilvl w:val="0"/>
                <w:numId w:val="1"/>
              </w:numPr>
              <w:spacing w:before="0" w:beforeAutospacing="0" w:after="0" w:afterAutospacing="0" w:line="360" w:lineRule="auto"/>
              <w:jc w:val="both"/>
              <w:rPr>
                <w:rFonts w:ascii="Times New Roman" w:eastAsia="標楷體" w:hAnsi="Times New Roman" w:cs="Times New Roman"/>
                <w:spacing w:val="12"/>
              </w:rPr>
            </w:pPr>
            <w:r w:rsidRPr="00743BC1">
              <w:rPr>
                <w:rFonts w:ascii="Times New Roman" w:eastAsia="標楷體" w:hAnsi="標楷體" w:cs="Times New Roman" w:hint="eastAsia"/>
                <w:b/>
                <w:bCs/>
                <w:color w:val="000000"/>
                <w:u w:val="single"/>
              </w:rPr>
              <w:t>醫療人員</w:t>
            </w:r>
            <w:r w:rsidRPr="00743BC1">
              <w:rPr>
                <w:rFonts w:ascii="Times New Roman" w:eastAsia="標楷體" w:hAnsi="標楷體" w:cs="Times New Roman" w:hint="eastAsia"/>
                <w:b/>
                <w:color w:val="000000"/>
              </w:rPr>
              <w:t>應注意事項：</w:t>
            </w:r>
            <w:r w:rsidR="00743BC1" w:rsidRPr="00743BC1">
              <w:rPr>
                <w:rFonts w:ascii="Times New Roman" w:eastAsia="標楷體" w:hAnsi="Times New Roman" w:cs="Times New Roman" w:hint="eastAsia"/>
                <w:shd w:val="clear" w:color="auto" w:fill="FFFFFF"/>
              </w:rPr>
              <w:t>處方及調劑含</w:t>
            </w:r>
            <w:r w:rsidR="00743BC1" w:rsidRPr="00743BC1">
              <w:rPr>
                <w:rFonts w:ascii="Times New Roman" w:eastAsia="標楷體" w:hAnsi="Times New Roman" w:cs="Times New Roman" w:hint="eastAsia"/>
                <w:shd w:val="clear" w:color="auto" w:fill="FFFFFF"/>
              </w:rPr>
              <w:t>methotrexate</w:t>
            </w:r>
            <w:r w:rsidR="00743BC1" w:rsidRPr="00743BC1">
              <w:rPr>
                <w:rFonts w:ascii="Times New Roman" w:eastAsia="標楷體" w:hAnsi="Times New Roman" w:cs="Times New Roman" w:hint="eastAsia"/>
                <w:shd w:val="clear" w:color="auto" w:fill="FFFFFF"/>
              </w:rPr>
              <w:t>成分藥品前，</w:t>
            </w:r>
            <w:r w:rsidR="00743BC1" w:rsidRPr="00743BC1">
              <w:rPr>
                <w:rFonts w:ascii="Times New Roman" w:eastAsia="標楷體" w:hAnsi="Times New Roman" w:cs="Times New Roman" w:hint="eastAsia"/>
                <w:b/>
                <w:u w:val="single"/>
                <w:shd w:val="clear" w:color="auto" w:fill="FFFFFF"/>
              </w:rPr>
              <w:t>應確認處方之用法用量是否符合病人之適應症</w:t>
            </w:r>
            <w:r w:rsidR="00743BC1" w:rsidRPr="00743BC1">
              <w:rPr>
                <w:rFonts w:ascii="Times New Roman" w:eastAsia="標楷體" w:hAnsi="Times New Roman" w:cs="Times New Roman" w:hint="eastAsia"/>
                <w:shd w:val="clear" w:color="auto" w:fill="FFFFFF"/>
              </w:rPr>
              <w:t>及仿單建議劑量。</w:t>
            </w:r>
            <w:r w:rsidR="00743BC1" w:rsidRPr="00743BC1">
              <w:rPr>
                <w:rFonts w:ascii="Times New Roman" w:eastAsia="標楷體" w:hAnsi="Times New Roman" w:cs="Times New Roman" w:hint="eastAsia"/>
                <w:b/>
                <w:u w:val="single"/>
                <w:shd w:val="clear" w:color="auto" w:fill="FFFFFF"/>
              </w:rPr>
              <w:t>應明確告知病人正確之用法用量</w:t>
            </w:r>
            <w:r w:rsidR="00743BC1" w:rsidRPr="00743BC1">
              <w:rPr>
                <w:rFonts w:ascii="Times New Roman" w:eastAsia="標楷體" w:hAnsi="Times New Roman" w:cs="Times New Roman" w:hint="eastAsia"/>
                <w:shd w:val="clear" w:color="auto" w:fill="FFFFFF"/>
              </w:rPr>
              <w:t>，若為一個禮拜服藥一次，可於處方規定服藥日。</w:t>
            </w:r>
            <w:r w:rsidR="00743BC1" w:rsidRPr="00743BC1">
              <w:rPr>
                <w:rFonts w:ascii="Times New Roman" w:eastAsia="標楷體" w:hAnsi="Times New Roman" w:cs="Times New Roman" w:hint="eastAsia"/>
                <w:b/>
                <w:u w:val="single"/>
                <w:shd w:val="clear" w:color="auto" w:fill="FFFFFF"/>
              </w:rPr>
              <w:t>Methotrexate</w:t>
            </w:r>
            <w:r w:rsidR="00743BC1" w:rsidRPr="00743BC1">
              <w:rPr>
                <w:rFonts w:ascii="Times New Roman" w:eastAsia="標楷體" w:hAnsi="Times New Roman" w:cs="Times New Roman" w:hint="eastAsia"/>
                <w:b/>
                <w:u w:val="single"/>
                <w:shd w:val="clear" w:color="auto" w:fill="FFFFFF"/>
              </w:rPr>
              <w:t>過量常見症狀為胃腸與血液反應</w:t>
            </w:r>
            <w:r w:rsidR="00743BC1" w:rsidRPr="00743BC1">
              <w:rPr>
                <w:rFonts w:ascii="Times New Roman" w:eastAsia="標楷體" w:hAnsi="Times New Roman" w:cs="Times New Roman" w:hint="eastAsia"/>
                <w:shd w:val="clear" w:color="auto" w:fill="FFFFFF"/>
              </w:rPr>
              <w:t>，可能會引起口部潰瘍、噁心、嘔吐、胃腸潰瘍及骨髓抑制造成血液相關檢驗數據異常，醫療人員須注意病人之血液檢查結果，並且應告知病人</w:t>
            </w:r>
            <w:r w:rsidR="00743BC1" w:rsidRPr="00743BC1">
              <w:rPr>
                <w:rFonts w:ascii="Times New Roman" w:eastAsia="標楷體" w:hAnsi="Times New Roman" w:cs="Times New Roman" w:hint="eastAsia"/>
                <w:shd w:val="clear" w:color="auto" w:fill="FFFFFF"/>
              </w:rPr>
              <w:t>methotrexate</w:t>
            </w:r>
            <w:r w:rsidR="00743BC1" w:rsidRPr="00743BC1">
              <w:rPr>
                <w:rFonts w:ascii="Times New Roman" w:eastAsia="標楷體" w:hAnsi="Times New Roman" w:cs="Times New Roman" w:hint="eastAsia"/>
                <w:shd w:val="clear" w:color="auto" w:fill="FFFFFF"/>
              </w:rPr>
              <w:t>過量可能出現的症狀。</w:t>
            </w:r>
          </w:p>
          <w:p w:rsidR="00E84DA6" w:rsidRPr="00E84DA6" w:rsidRDefault="00D940E1" w:rsidP="00E84DA6">
            <w:pPr>
              <w:pStyle w:val="Web"/>
              <w:spacing w:before="0" w:beforeAutospacing="0" w:after="0" w:afterAutospacing="0" w:line="360" w:lineRule="auto"/>
              <w:jc w:val="both"/>
              <w:rPr>
                <w:rFonts w:ascii="Times New Roman" w:eastAsia="標楷體" w:hAnsi="Times New Roman" w:cs="Times New Roman" w:hint="eastAsia"/>
                <w:spacing w:val="12"/>
              </w:rPr>
            </w:pPr>
            <w:r w:rsidRPr="00E84DA6">
              <w:rPr>
                <w:rFonts w:ascii="Times New Roman" w:eastAsia="標楷體" w:hAnsi="Times New Roman" w:cs="Times New Roman" w:hint="eastAsia"/>
                <w:spacing w:val="12"/>
                <w:highlight w:val="lightGray"/>
              </w:rPr>
              <w:t>本院目前含此成分品項</w:t>
            </w:r>
            <w:r w:rsidRPr="00E84DA6">
              <w:rPr>
                <w:rFonts w:ascii="Times New Roman" w:eastAsia="標楷體" w:hAnsi="Arial" w:cs="Times New Roman" w:hint="eastAsia"/>
                <w:spacing w:val="12"/>
                <w:highlight w:val="lightGray"/>
              </w:rPr>
              <w:t>：</w:t>
            </w:r>
            <w:r w:rsidR="007D221F" w:rsidRPr="00E84DA6">
              <w:rPr>
                <w:rFonts w:ascii="Times New Roman" w:eastAsia="標楷體" w:hAnsi="Times New Roman" w:cs="Times New Roman" w:hint="eastAsia"/>
                <w:spacing w:val="12"/>
                <w:highlight w:val="lightGray"/>
              </w:rPr>
              <w:t xml:space="preserve"> </w:t>
            </w:r>
            <w:r w:rsidR="00E84DA6" w:rsidRPr="00E84DA6">
              <w:rPr>
                <w:rFonts w:ascii="Times New Roman" w:eastAsia="標楷體" w:hAnsi="Times New Roman" w:cs="Times New Roman"/>
                <w:spacing w:val="12"/>
                <w:highlight w:val="lightGray"/>
              </w:rPr>
              <w:t>Methotrexate Sod Inj 500mg/5ml</w:t>
            </w:r>
            <w:r w:rsidR="00E84DA6" w:rsidRPr="00E84DA6">
              <w:rPr>
                <w:rFonts w:ascii="Times New Roman" w:eastAsia="標楷體" w:hAnsi="Times New Roman" w:cs="Times New Roman" w:hint="eastAsia"/>
                <w:spacing w:val="12"/>
                <w:highlight w:val="lightGray"/>
              </w:rPr>
              <w:t>、</w:t>
            </w:r>
            <w:r w:rsidR="00E84DA6" w:rsidRPr="00E84DA6">
              <w:rPr>
                <w:rFonts w:ascii="Times New Roman" w:eastAsia="標楷體" w:hAnsi="Times New Roman" w:cs="Times New Roman"/>
                <w:spacing w:val="12"/>
                <w:highlight w:val="lightGray"/>
              </w:rPr>
              <w:t>Methotrexate Inj 50mg/2ml</w:t>
            </w:r>
            <w:r w:rsidR="00E84DA6" w:rsidRPr="00E84DA6">
              <w:rPr>
                <w:rFonts w:ascii="Times New Roman" w:eastAsia="標楷體" w:hAnsi="Times New Roman" w:cs="Times New Roman" w:hint="eastAsia"/>
                <w:spacing w:val="12"/>
                <w:highlight w:val="lightGray"/>
              </w:rPr>
              <w:t>、</w:t>
            </w:r>
            <w:r w:rsidR="00E84DA6" w:rsidRPr="00E84DA6">
              <w:rPr>
                <w:rFonts w:ascii="Times New Roman" w:eastAsia="標楷體" w:hAnsi="Times New Roman" w:cs="Times New Roman"/>
                <w:spacing w:val="12"/>
                <w:highlight w:val="lightGray"/>
              </w:rPr>
              <w:t>Methotrexate Sodium Tab 2.5mg</w:t>
            </w:r>
            <w:r w:rsidR="00E84DA6" w:rsidRPr="00E84DA6">
              <w:rPr>
                <w:rFonts w:ascii="Times New Roman" w:eastAsia="標楷體" w:hAnsi="Times New Roman" w:cs="Times New Roman" w:hint="eastAsia"/>
                <w:spacing w:val="12"/>
                <w:highlight w:val="lightGray"/>
              </w:rPr>
              <w:t>。</w:t>
            </w:r>
          </w:p>
          <w:p w:rsidR="00E84DA6" w:rsidRPr="00E84DA6" w:rsidRDefault="00E84DA6" w:rsidP="00E84DA6">
            <w:pPr>
              <w:pStyle w:val="Web"/>
              <w:spacing w:before="0" w:beforeAutospacing="0" w:after="0" w:afterAutospacing="0" w:line="360" w:lineRule="auto"/>
              <w:ind w:left="480"/>
              <w:jc w:val="both"/>
              <w:rPr>
                <w:rFonts w:ascii="Times New Roman" w:eastAsia="標楷體" w:hAnsi="Times New Roman" w:cs="Times New Roman"/>
                <w:spacing w:val="12"/>
              </w:rPr>
            </w:pPr>
            <w:hyperlink r:id="rId8" w:history="1">
              <w:r w:rsidRPr="007133F7">
                <w:rPr>
                  <w:rStyle w:val="a6"/>
                  <w:rFonts w:ascii="Times New Roman" w:eastAsia="標楷體" w:hAnsi="Times New Roman" w:cs="Times New Roman"/>
                  <w:spacing w:val="12"/>
                </w:rPr>
                <w:t>https://www.fda.gov.tw/tc/includes/GetFile.ashx?mid=133&amp;id=26863&amp;t=s</w:t>
              </w:r>
            </w:hyperlink>
          </w:p>
        </w:tc>
      </w:tr>
      <w:bookmarkEnd w:id="0"/>
    </w:tbl>
    <w:p w:rsidR="003C4CD6" w:rsidRPr="009D43E7" w:rsidRDefault="003C4CD6" w:rsidP="00AE4632"/>
    <w:sectPr w:rsidR="003C4CD6" w:rsidRPr="009D43E7" w:rsidSect="00E84DA6">
      <w:pgSz w:w="11906" w:h="16838"/>
      <w:pgMar w:top="709" w:right="1800" w:bottom="5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31D8" w:rsidRDefault="002531D8">
      <w:r>
        <w:separator/>
      </w:r>
    </w:p>
  </w:endnote>
  <w:endnote w:type="continuationSeparator" w:id="1">
    <w:p w:rsidR="002531D8" w:rsidRDefault="002531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31D8" w:rsidRDefault="002531D8">
      <w:r>
        <w:separator/>
      </w:r>
    </w:p>
  </w:footnote>
  <w:footnote w:type="continuationSeparator" w:id="1">
    <w:p w:rsidR="002531D8" w:rsidRDefault="002531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75665"/>
    <w:multiLevelType w:val="hybridMultilevel"/>
    <w:tmpl w:val="6FF8E6B4"/>
    <w:lvl w:ilvl="0" w:tplc="7A962CDA">
      <w:start w:val="99"/>
      <w:numFmt w:val="bullet"/>
      <w:lvlText w:val="◎"/>
      <w:lvlJc w:val="left"/>
      <w:pPr>
        <w:tabs>
          <w:tab w:val="num" w:pos="346"/>
        </w:tabs>
        <w:ind w:left="346" w:hanging="360"/>
      </w:pPr>
      <w:rPr>
        <w:rFonts w:ascii="標楷體" w:eastAsia="標楷體" w:hAnsi="標楷體" w:hint="eastAsia"/>
      </w:rPr>
    </w:lvl>
    <w:lvl w:ilvl="1" w:tplc="434656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0DB30FA"/>
    <w:multiLevelType w:val="hybridMultilevel"/>
    <w:tmpl w:val="C0A2BA48"/>
    <w:lvl w:ilvl="0" w:tplc="A32C5FC6">
      <w:start w:val="1"/>
      <w:numFmt w:val="decimal"/>
      <w:lvlText w:val="(%1)"/>
      <w:lvlJc w:val="left"/>
      <w:pPr>
        <w:ind w:left="514" w:hanging="480"/>
      </w:pPr>
      <w:rPr>
        <w:rFonts w:ascii="Times New Roman" w:eastAsia="標楷體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2">
    <w:nsid w:val="2256031B"/>
    <w:multiLevelType w:val="hybridMultilevel"/>
    <w:tmpl w:val="A18C0298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3">
    <w:nsid w:val="2DD15880"/>
    <w:multiLevelType w:val="hybridMultilevel"/>
    <w:tmpl w:val="D690D402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4">
    <w:nsid w:val="5D3D3917"/>
    <w:multiLevelType w:val="hybridMultilevel"/>
    <w:tmpl w:val="D472A2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4B36326"/>
    <w:multiLevelType w:val="hybridMultilevel"/>
    <w:tmpl w:val="F70E736C"/>
    <w:lvl w:ilvl="0" w:tplc="72EEB384">
      <w:start w:val="1"/>
      <w:numFmt w:val="decimal"/>
      <w:lvlText w:val="%1、"/>
      <w:lvlJc w:val="left"/>
      <w:pPr>
        <w:ind w:left="480" w:hanging="480"/>
      </w:pPr>
      <w:rPr>
        <w:rFonts w:ascii="Arial" w:hAnsi="Arial" w:cs="Arial" w:hint="default"/>
        <w:sz w:val="24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16DE"/>
    <w:rsid w:val="00006B71"/>
    <w:rsid w:val="00011762"/>
    <w:rsid w:val="00030BD8"/>
    <w:rsid w:val="0003136C"/>
    <w:rsid w:val="00031A21"/>
    <w:rsid w:val="00031CA7"/>
    <w:rsid w:val="00032694"/>
    <w:rsid w:val="000377BB"/>
    <w:rsid w:val="00042A52"/>
    <w:rsid w:val="000510C5"/>
    <w:rsid w:val="00052299"/>
    <w:rsid w:val="00054F2B"/>
    <w:rsid w:val="00055E23"/>
    <w:rsid w:val="00060C3D"/>
    <w:rsid w:val="000638F4"/>
    <w:rsid w:val="00066852"/>
    <w:rsid w:val="00066EC6"/>
    <w:rsid w:val="00073310"/>
    <w:rsid w:val="000746AD"/>
    <w:rsid w:val="000811F1"/>
    <w:rsid w:val="000860BF"/>
    <w:rsid w:val="000871DF"/>
    <w:rsid w:val="000912BB"/>
    <w:rsid w:val="0009533B"/>
    <w:rsid w:val="000A2116"/>
    <w:rsid w:val="000A3DB0"/>
    <w:rsid w:val="000A7E65"/>
    <w:rsid w:val="000B7013"/>
    <w:rsid w:val="000B7834"/>
    <w:rsid w:val="000C505E"/>
    <w:rsid w:val="000C7DFD"/>
    <w:rsid w:val="000D02A5"/>
    <w:rsid w:val="000E0BBB"/>
    <w:rsid w:val="000E1947"/>
    <w:rsid w:val="001032DC"/>
    <w:rsid w:val="00106150"/>
    <w:rsid w:val="0011137C"/>
    <w:rsid w:val="00117820"/>
    <w:rsid w:val="0012144D"/>
    <w:rsid w:val="001215A0"/>
    <w:rsid w:val="00125465"/>
    <w:rsid w:val="001256CA"/>
    <w:rsid w:val="00131390"/>
    <w:rsid w:val="00142006"/>
    <w:rsid w:val="00151AFC"/>
    <w:rsid w:val="00154243"/>
    <w:rsid w:val="00154295"/>
    <w:rsid w:val="001561FC"/>
    <w:rsid w:val="00165A73"/>
    <w:rsid w:val="00167740"/>
    <w:rsid w:val="0018036D"/>
    <w:rsid w:val="00182113"/>
    <w:rsid w:val="0018634E"/>
    <w:rsid w:val="001914A6"/>
    <w:rsid w:val="00195897"/>
    <w:rsid w:val="00196553"/>
    <w:rsid w:val="001A2024"/>
    <w:rsid w:val="001B3E62"/>
    <w:rsid w:val="001B5236"/>
    <w:rsid w:val="001C42D2"/>
    <w:rsid w:val="001C75AB"/>
    <w:rsid w:val="001D26B5"/>
    <w:rsid w:val="001E3B69"/>
    <w:rsid w:val="001E3B84"/>
    <w:rsid w:val="001E4702"/>
    <w:rsid w:val="001E7D86"/>
    <w:rsid w:val="001F07DC"/>
    <w:rsid w:val="001F0879"/>
    <w:rsid w:val="001F095F"/>
    <w:rsid w:val="001F265D"/>
    <w:rsid w:val="001F42B9"/>
    <w:rsid w:val="001F556D"/>
    <w:rsid w:val="001F7680"/>
    <w:rsid w:val="001F76A7"/>
    <w:rsid w:val="00210877"/>
    <w:rsid w:val="0021464C"/>
    <w:rsid w:val="00217EC5"/>
    <w:rsid w:val="00224786"/>
    <w:rsid w:val="002352F0"/>
    <w:rsid w:val="002437F5"/>
    <w:rsid w:val="002461FD"/>
    <w:rsid w:val="00251F51"/>
    <w:rsid w:val="002531D8"/>
    <w:rsid w:val="0025407E"/>
    <w:rsid w:val="002571FE"/>
    <w:rsid w:val="00263C2D"/>
    <w:rsid w:val="00264272"/>
    <w:rsid w:val="0027065C"/>
    <w:rsid w:val="00280220"/>
    <w:rsid w:val="00281CBF"/>
    <w:rsid w:val="00282277"/>
    <w:rsid w:val="00287E7B"/>
    <w:rsid w:val="002967A9"/>
    <w:rsid w:val="002A72E6"/>
    <w:rsid w:val="002A7D80"/>
    <w:rsid w:val="002B12B3"/>
    <w:rsid w:val="002B1B5B"/>
    <w:rsid w:val="002B2030"/>
    <w:rsid w:val="002B34F8"/>
    <w:rsid w:val="002B6696"/>
    <w:rsid w:val="002B7352"/>
    <w:rsid w:val="002C04E5"/>
    <w:rsid w:val="002D02B6"/>
    <w:rsid w:val="002D32F8"/>
    <w:rsid w:val="002E7037"/>
    <w:rsid w:val="002F0BAD"/>
    <w:rsid w:val="00301C20"/>
    <w:rsid w:val="00306746"/>
    <w:rsid w:val="003069F4"/>
    <w:rsid w:val="00313C41"/>
    <w:rsid w:val="00314EE9"/>
    <w:rsid w:val="00315B1B"/>
    <w:rsid w:val="003203ED"/>
    <w:rsid w:val="003226EF"/>
    <w:rsid w:val="0032453F"/>
    <w:rsid w:val="00324CC1"/>
    <w:rsid w:val="003264F6"/>
    <w:rsid w:val="00327162"/>
    <w:rsid w:val="003344DF"/>
    <w:rsid w:val="003556EC"/>
    <w:rsid w:val="003673F2"/>
    <w:rsid w:val="003704B2"/>
    <w:rsid w:val="00370529"/>
    <w:rsid w:val="00384C8E"/>
    <w:rsid w:val="00396B76"/>
    <w:rsid w:val="00396CD5"/>
    <w:rsid w:val="003A02BD"/>
    <w:rsid w:val="003A4CF3"/>
    <w:rsid w:val="003A5505"/>
    <w:rsid w:val="003A74B1"/>
    <w:rsid w:val="003A79FA"/>
    <w:rsid w:val="003B0A05"/>
    <w:rsid w:val="003B0AFE"/>
    <w:rsid w:val="003C3435"/>
    <w:rsid w:val="003C3C82"/>
    <w:rsid w:val="003C4CD6"/>
    <w:rsid w:val="003C7654"/>
    <w:rsid w:val="003D2022"/>
    <w:rsid w:val="003D2FC3"/>
    <w:rsid w:val="003D6A66"/>
    <w:rsid w:val="003D7A91"/>
    <w:rsid w:val="003E4707"/>
    <w:rsid w:val="003E5297"/>
    <w:rsid w:val="003F4E86"/>
    <w:rsid w:val="003F670F"/>
    <w:rsid w:val="003F74A9"/>
    <w:rsid w:val="004005DC"/>
    <w:rsid w:val="0040159C"/>
    <w:rsid w:val="00402E7A"/>
    <w:rsid w:val="00407997"/>
    <w:rsid w:val="00407F13"/>
    <w:rsid w:val="0041355A"/>
    <w:rsid w:val="00415FA5"/>
    <w:rsid w:val="004161D9"/>
    <w:rsid w:val="004213CD"/>
    <w:rsid w:val="004230FC"/>
    <w:rsid w:val="00423AE0"/>
    <w:rsid w:val="004326A3"/>
    <w:rsid w:val="00442282"/>
    <w:rsid w:val="0044436B"/>
    <w:rsid w:val="00450F29"/>
    <w:rsid w:val="00454F54"/>
    <w:rsid w:val="004567A0"/>
    <w:rsid w:val="0046266E"/>
    <w:rsid w:val="00467711"/>
    <w:rsid w:val="004678E1"/>
    <w:rsid w:val="00467EA4"/>
    <w:rsid w:val="00487751"/>
    <w:rsid w:val="00490B5C"/>
    <w:rsid w:val="0049104F"/>
    <w:rsid w:val="004929E2"/>
    <w:rsid w:val="00495B82"/>
    <w:rsid w:val="004B0453"/>
    <w:rsid w:val="004B1257"/>
    <w:rsid w:val="004B3ED7"/>
    <w:rsid w:val="004C00E1"/>
    <w:rsid w:val="004C4355"/>
    <w:rsid w:val="004D246C"/>
    <w:rsid w:val="004D4F0E"/>
    <w:rsid w:val="004D711F"/>
    <w:rsid w:val="004E0343"/>
    <w:rsid w:val="004E1570"/>
    <w:rsid w:val="004E1674"/>
    <w:rsid w:val="004E1DB9"/>
    <w:rsid w:val="004E44BF"/>
    <w:rsid w:val="004E6047"/>
    <w:rsid w:val="004F0A0C"/>
    <w:rsid w:val="004F24C4"/>
    <w:rsid w:val="004F56E6"/>
    <w:rsid w:val="004F637A"/>
    <w:rsid w:val="00501A5C"/>
    <w:rsid w:val="00502E02"/>
    <w:rsid w:val="005222DC"/>
    <w:rsid w:val="005251E9"/>
    <w:rsid w:val="00527227"/>
    <w:rsid w:val="00532F5B"/>
    <w:rsid w:val="0053623E"/>
    <w:rsid w:val="005365E3"/>
    <w:rsid w:val="00536641"/>
    <w:rsid w:val="005422BF"/>
    <w:rsid w:val="005427D8"/>
    <w:rsid w:val="00553CB8"/>
    <w:rsid w:val="00555567"/>
    <w:rsid w:val="00557274"/>
    <w:rsid w:val="00561297"/>
    <w:rsid w:val="00562697"/>
    <w:rsid w:val="005644F2"/>
    <w:rsid w:val="00566562"/>
    <w:rsid w:val="00566A9F"/>
    <w:rsid w:val="0056758F"/>
    <w:rsid w:val="00571377"/>
    <w:rsid w:val="00575A5C"/>
    <w:rsid w:val="0057741B"/>
    <w:rsid w:val="00580C34"/>
    <w:rsid w:val="005843E7"/>
    <w:rsid w:val="005B0622"/>
    <w:rsid w:val="005B24EB"/>
    <w:rsid w:val="005B3391"/>
    <w:rsid w:val="005B61D3"/>
    <w:rsid w:val="005B71CF"/>
    <w:rsid w:val="005C1EF6"/>
    <w:rsid w:val="005C6528"/>
    <w:rsid w:val="005D0A25"/>
    <w:rsid w:val="005D1A0C"/>
    <w:rsid w:val="005D40C6"/>
    <w:rsid w:val="005E28B5"/>
    <w:rsid w:val="005E689E"/>
    <w:rsid w:val="005F1526"/>
    <w:rsid w:val="005F6E71"/>
    <w:rsid w:val="005F717C"/>
    <w:rsid w:val="006018BD"/>
    <w:rsid w:val="0060481D"/>
    <w:rsid w:val="00605C41"/>
    <w:rsid w:val="00614FC8"/>
    <w:rsid w:val="0062039E"/>
    <w:rsid w:val="006219DB"/>
    <w:rsid w:val="00630696"/>
    <w:rsid w:val="00632E76"/>
    <w:rsid w:val="006407F5"/>
    <w:rsid w:val="00642366"/>
    <w:rsid w:val="00642ACD"/>
    <w:rsid w:val="00644DD1"/>
    <w:rsid w:val="00647838"/>
    <w:rsid w:val="00652B5C"/>
    <w:rsid w:val="00652C92"/>
    <w:rsid w:val="00656138"/>
    <w:rsid w:val="0065688C"/>
    <w:rsid w:val="006578DB"/>
    <w:rsid w:val="00657AC3"/>
    <w:rsid w:val="00671280"/>
    <w:rsid w:val="006725C3"/>
    <w:rsid w:val="006726F7"/>
    <w:rsid w:val="00675678"/>
    <w:rsid w:val="00676666"/>
    <w:rsid w:val="0068047A"/>
    <w:rsid w:val="00691045"/>
    <w:rsid w:val="00696370"/>
    <w:rsid w:val="0069749C"/>
    <w:rsid w:val="006A45F9"/>
    <w:rsid w:val="006A73B0"/>
    <w:rsid w:val="006B6E33"/>
    <w:rsid w:val="006C1C7E"/>
    <w:rsid w:val="006C1F47"/>
    <w:rsid w:val="006C37EE"/>
    <w:rsid w:val="006D5171"/>
    <w:rsid w:val="006D7146"/>
    <w:rsid w:val="006E5303"/>
    <w:rsid w:val="006E7445"/>
    <w:rsid w:val="006E7515"/>
    <w:rsid w:val="006F353F"/>
    <w:rsid w:val="006F7A90"/>
    <w:rsid w:val="007068A4"/>
    <w:rsid w:val="00707868"/>
    <w:rsid w:val="007135F5"/>
    <w:rsid w:val="0071520D"/>
    <w:rsid w:val="007171CD"/>
    <w:rsid w:val="007172DC"/>
    <w:rsid w:val="00724341"/>
    <w:rsid w:val="0073436C"/>
    <w:rsid w:val="00737229"/>
    <w:rsid w:val="007378E2"/>
    <w:rsid w:val="00743BC1"/>
    <w:rsid w:val="00750D69"/>
    <w:rsid w:val="00755A6B"/>
    <w:rsid w:val="007572A0"/>
    <w:rsid w:val="007612B8"/>
    <w:rsid w:val="00762DB5"/>
    <w:rsid w:val="0077098B"/>
    <w:rsid w:val="00771F0C"/>
    <w:rsid w:val="00774BC2"/>
    <w:rsid w:val="00775C6C"/>
    <w:rsid w:val="00776386"/>
    <w:rsid w:val="00780C1D"/>
    <w:rsid w:val="007906DF"/>
    <w:rsid w:val="00793AF8"/>
    <w:rsid w:val="00794B4C"/>
    <w:rsid w:val="007A7932"/>
    <w:rsid w:val="007B3117"/>
    <w:rsid w:val="007B3F73"/>
    <w:rsid w:val="007C3ED7"/>
    <w:rsid w:val="007C60A4"/>
    <w:rsid w:val="007C62F6"/>
    <w:rsid w:val="007C667D"/>
    <w:rsid w:val="007D016F"/>
    <w:rsid w:val="007D1962"/>
    <w:rsid w:val="007D221F"/>
    <w:rsid w:val="007D7691"/>
    <w:rsid w:val="007E02F7"/>
    <w:rsid w:val="007E0371"/>
    <w:rsid w:val="007E112B"/>
    <w:rsid w:val="007F4B43"/>
    <w:rsid w:val="007F50A6"/>
    <w:rsid w:val="007F5705"/>
    <w:rsid w:val="007F7951"/>
    <w:rsid w:val="007F7F19"/>
    <w:rsid w:val="008001CA"/>
    <w:rsid w:val="0080171B"/>
    <w:rsid w:val="0080243D"/>
    <w:rsid w:val="00802F2E"/>
    <w:rsid w:val="00805D33"/>
    <w:rsid w:val="00807575"/>
    <w:rsid w:val="008129F1"/>
    <w:rsid w:val="00814367"/>
    <w:rsid w:val="008157C2"/>
    <w:rsid w:val="00822065"/>
    <w:rsid w:val="00823022"/>
    <w:rsid w:val="008426D8"/>
    <w:rsid w:val="0084744C"/>
    <w:rsid w:val="00847838"/>
    <w:rsid w:val="00847A7A"/>
    <w:rsid w:val="008507A4"/>
    <w:rsid w:val="00850AE6"/>
    <w:rsid w:val="00851D56"/>
    <w:rsid w:val="00860652"/>
    <w:rsid w:val="00863D0C"/>
    <w:rsid w:val="00870E6D"/>
    <w:rsid w:val="00872993"/>
    <w:rsid w:val="00875A3E"/>
    <w:rsid w:val="00881AF5"/>
    <w:rsid w:val="008845BA"/>
    <w:rsid w:val="00885A24"/>
    <w:rsid w:val="00887AE4"/>
    <w:rsid w:val="008937F6"/>
    <w:rsid w:val="008A5E5F"/>
    <w:rsid w:val="008B64F8"/>
    <w:rsid w:val="008C03DF"/>
    <w:rsid w:val="008C05F0"/>
    <w:rsid w:val="008C43E8"/>
    <w:rsid w:val="008C4A97"/>
    <w:rsid w:val="008C6164"/>
    <w:rsid w:val="008C617B"/>
    <w:rsid w:val="008C61DC"/>
    <w:rsid w:val="008C70A4"/>
    <w:rsid w:val="008D07CB"/>
    <w:rsid w:val="008D296F"/>
    <w:rsid w:val="008D7474"/>
    <w:rsid w:val="008E04AE"/>
    <w:rsid w:val="008E0C80"/>
    <w:rsid w:val="008E62C7"/>
    <w:rsid w:val="008E6E52"/>
    <w:rsid w:val="008E6FFC"/>
    <w:rsid w:val="008F35E0"/>
    <w:rsid w:val="008F6657"/>
    <w:rsid w:val="008F6F7D"/>
    <w:rsid w:val="008F7DD9"/>
    <w:rsid w:val="0090106F"/>
    <w:rsid w:val="00904990"/>
    <w:rsid w:val="00905544"/>
    <w:rsid w:val="00906053"/>
    <w:rsid w:val="00913CA7"/>
    <w:rsid w:val="009155A0"/>
    <w:rsid w:val="00930D55"/>
    <w:rsid w:val="0093199C"/>
    <w:rsid w:val="00933431"/>
    <w:rsid w:val="00933AA8"/>
    <w:rsid w:val="00941B30"/>
    <w:rsid w:val="00942844"/>
    <w:rsid w:val="00943B1C"/>
    <w:rsid w:val="009474AA"/>
    <w:rsid w:val="00950CAC"/>
    <w:rsid w:val="0097149B"/>
    <w:rsid w:val="009754FD"/>
    <w:rsid w:val="0098611D"/>
    <w:rsid w:val="0098674D"/>
    <w:rsid w:val="009939F0"/>
    <w:rsid w:val="009A0FCB"/>
    <w:rsid w:val="009A1649"/>
    <w:rsid w:val="009A3F31"/>
    <w:rsid w:val="009A6021"/>
    <w:rsid w:val="009A672F"/>
    <w:rsid w:val="009A68F7"/>
    <w:rsid w:val="009B078F"/>
    <w:rsid w:val="009B1912"/>
    <w:rsid w:val="009B3355"/>
    <w:rsid w:val="009B4431"/>
    <w:rsid w:val="009C0611"/>
    <w:rsid w:val="009C5E4F"/>
    <w:rsid w:val="009C66B0"/>
    <w:rsid w:val="009D1F2F"/>
    <w:rsid w:val="009D27A3"/>
    <w:rsid w:val="009D406B"/>
    <w:rsid w:val="009D43E7"/>
    <w:rsid w:val="009D5097"/>
    <w:rsid w:val="009E1030"/>
    <w:rsid w:val="009F3E69"/>
    <w:rsid w:val="009F4A84"/>
    <w:rsid w:val="009F512D"/>
    <w:rsid w:val="009F5BF2"/>
    <w:rsid w:val="00A05886"/>
    <w:rsid w:val="00A1362B"/>
    <w:rsid w:val="00A13C86"/>
    <w:rsid w:val="00A171C8"/>
    <w:rsid w:val="00A17725"/>
    <w:rsid w:val="00A27124"/>
    <w:rsid w:val="00A3280C"/>
    <w:rsid w:val="00A33BE8"/>
    <w:rsid w:val="00A446DE"/>
    <w:rsid w:val="00A55B29"/>
    <w:rsid w:val="00A567B3"/>
    <w:rsid w:val="00A56E58"/>
    <w:rsid w:val="00A57013"/>
    <w:rsid w:val="00A60C7A"/>
    <w:rsid w:val="00A6460B"/>
    <w:rsid w:val="00A66654"/>
    <w:rsid w:val="00A7046E"/>
    <w:rsid w:val="00A73977"/>
    <w:rsid w:val="00A75FFB"/>
    <w:rsid w:val="00A767BD"/>
    <w:rsid w:val="00A81DA0"/>
    <w:rsid w:val="00A94873"/>
    <w:rsid w:val="00AA2205"/>
    <w:rsid w:val="00AA5899"/>
    <w:rsid w:val="00AA75E3"/>
    <w:rsid w:val="00AB3040"/>
    <w:rsid w:val="00AB4E6E"/>
    <w:rsid w:val="00AC2DA1"/>
    <w:rsid w:val="00AC3A30"/>
    <w:rsid w:val="00AC6C2B"/>
    <w:rsid w:val="00AE4632"/>
    <w:rsid w:val="00AE5401"/>
    <w:rsid w:val="00AF3B89"/>
    <w:rsid w:val="00B00506"/>
    <w:rsid w:val="00B03D91"/>
    <w:rsid w:val="00B054C1"/>
    <w:rsid w:val="00B071F0"/>
    <w:rsid w:val="00B14277"/>
    <w:rsid w:val="00B16204"/>
    <w:rsid w:val="00B2156E"/>
    <w:rsid w:val="00B24949"/>
    <w:rsid w:val="00B25E98"/>
    <w:rsid w:val="00B324DF"/>
    <w:rsid w:val="00B32ADB"/>
    <w:rsid w:val="00B43101"/>
    <w:rsid w:val="00B455EB"/>
    <w:rsid w:val="00B457A3"/>
    <w:rsid w:val="00B503A4"/>
    <w:rsid w:val="00B54709"/>
    <w:rsid w:val="00B55970"/>
    <w:rsid w:val="00B57925"/>
    <w:rsid w:val="00B62528"/>
    <w:rsid w:val="00B63796"/>
    <w:rsid w:val="00B63B1A"/>
    <w:rsid w:val="00B74179"/>
    <w:rsid w:val="00B755F4"/>
    <w:rsid w:val="00B80DA1"/>
    <w:rsid w:val="00B855A4"/>
    <w:rsid w:val="00B90F9E"/>
    <w:rsid w:val="00BA0C04"/>
    <w:rsid w:val="00BA4A6A"/>
    <w:rsid w:val="00BA7B70"/>
    <w:rsid w:val="00BB2AD7"/>
    <w:rsid w:val="00BB60F1"/>
    <w:rsid w:val="00BC1AAE"/>
    <w:rsid w:val="00BC1E28"/>
    <w:rsid w:val="00BC4559"/>
    <w:rsid w:val="00BD2F4F"/>
    <w:rsid w:val="00BD5704"/>
    <w:rsid w:val="00BE174B"/>
    <w:rsid w:val="00BE4192"/>
    <w:rsid w:val="00BF7364"/>
    <w:rsid w:val="00C01044"/>
    <w:rsid w:val="00C038D9"/>
    <w:rsid w:val="00C05420"/>
    <w:rsid w:val="00C060E8"/>
    <w:rsid w:val="00C1170A"/>
    <w:rsid w:val="00C178E5"/>
    <w:rsid w:val="00C213D6"/>
    <w:rsid w:val="00C220C5"/>
    <w:rsid w:val="00C2414A"/>
    <w:rsid w:val="00C3222E"/>
    <w:rsid w:val="00C370AF"/>
    <w:rsid w:val="00C374A1"/>
    <w:rsid w:val="00C41944"/>
    <w:rsid w:val="00C47B6A"/>
    <w:rsid w:val="00C50D93"/>
    <w:rsid w:val="00C55DAF"/>
    <w:rsid w:val="00C81565"/>
    <w:rsid w:val="00C82BFF"/>
    <w:rsid w:val="00C85E1E"/>
    <w:rsid w:val="00C9109E"/>
    <w:rsid w:val="00C91243"/>
    <w:rsid w:val="00CA0704"/>
    <w:rsid w:val="00CA1E4F"/>
    <w:rsid w:val="00CA2358"/>
    <w:rsid w:val="00CB06C6"/>
    <w:rsid w:val="00CB6C90"/>
    <w:rsid w:val="00CC44F6"/>
    <w:rsid w:val="00CC4A94"/>
    <w:rsid w:val="00CC4E08"/>
    <w:rsid w:val="00CC65F6"/>
    <w:rsid w:val="00CD2836"/>
    <w:rsid w:val="00CD3A7E"/>
    <w:rsid w:val="00CE0841"/>
    <w:rsid w:val="00CF16DE"/>
    <w:rsid w:val="00CF24C1"/>
    <w:rsid w:val="00CF2D48"/>
    <w:rsid w:val="00CF7121"/>
    <w:rsid w:val="00CF7D0D"/>
    <w:rsid w:val="00D000C4"/>
    <w:rsid w:val="00D07B4F"/>
    <w:rsid w:val="00D1048A"/>
    <w:rsid w:val="00D137F6"/>
    <w:rsid w:val="00D21525"/>
    <w:rsid w:val="00D21EFC"/>
    <w:rsid w:val="00D24DC3"/>
    <w:rsid w:val="00D25571"/>
    <w:rsid w:val="00D25DF1"/>
    <w:rsid w:val="00D30609"/>
    <w:rsid w:val="00D32196"/>
    <w:rsid w:val="00D33E48"/>
    <w:rsid w:val="00D40785"/>
    <w:rsid w:val="00D429CB"/>
    <w:rsid w:val="00D55750"/>
    <w:rsid w:val="00D613A4"/>
    <w:rsid w:val="00D70CC2"/>
    <w:rsid w:val="00D73187"/>
    <w:rsid w:val="00D84B27"/>
    <w:rsid w:val="00D84C2E"/>
    <w:rsid w:val="00D91876"/>
    <w:rsid w:val="00D9292A"/>
    <w:rsid w:val="00D940E1"/>
    <w:rsid w:val="00D94F98"/>
    <w:rsid w:val="00D967CE"/>
    <w:rsid w:val="00DB418D"/>
    <w:rsid w:val="00DB4F14"/>
    <w:rsid w:val="00DB5421"/>
    <w:rsid w:val="00DB7A88"/>
    <w:rsid w:val="00DC1619"/>
    <w:rsid w:val="00DD3A15"/>
    <w:rsid w:val="00DD5441"/>
    <w:rsid w:val="00DD719B"/>
    <w:rsid w:val="00DE3A6D"/>
    <w:rsid w:val="00DE425D"/>
    <w:rsid w:val="00DF016B"/>
    <w:rsid w:val="00DF1E5D"/>
    <w:rsid w:val="00DF2B3B"/>
    <w:rsid w:val="00DF33F8"/>
    <w:rsid w:val="00DF45E9"/>
    <w:rsid w:val="00DF5EAC"/>
    <w:rsid w:val="00DF7DF8"/>
    <w:rsid w:val="00E015AE"/>
    <w:rsid w:val="00E04D5B"/>
    <w:rsid w:val="00E07729"/>
    <w:rsid w:val="00E16407"/>
    <w:rsid w:val="00E26397"/>
    <w:rsid w:val="00E3126F"/>
    <w:rsid w:val="00E32F0C"/>
    <w:rsid w:val="00E37B14"/>
    <w:rsid w:val="00E44961"/>
    <w:rsid w:val="00E47D6D"/>
    <w:rsid w:val="00E53FDB"/>
    <w:rsid w:val="00E57403"/>
    <w:rsid w:val="00E6332C"/>
    <w:rsid w:val="00E70BC5"/>
    <w:rsid w:val="00E73B3D"/>
    <w:rsid w:val="00E73C12"/>
    <w:rsid w:val="00E80474"/>
    <w:rsid w:val="00E84DA6"/>
    <w:rsid w:val="00E866A8"/>
    <w:rsid w:val="00E928D8"/>
    <w:rsid w:val="00E97C51"/>
    <w:rsid w:val="00EA2279"/>
    <w:rsid w:val="00EA62CF"/>
    <w:rsid w:val="00EA707E"/>
    <w:rsid w:val="00EB1897"/>
    <w:rsid w:val="00EB492D"/>
    <w:rsid w:val="00EC3CEC"/>
    <w:rsid w:val="00EC492C"/>
    <w:rsid w:val="00ED03BE"/>
    <w:rsid w:val="00ED3716"/>
    <w:rsid w:val="00ED7022"/>
    <w:rsid w:val="00ED7E78"/>
    <w:rsid w:val="00EE164A"/>
    <w:rsid w:val="00EE3775"/>
    <w:rsid w:val="00EE449D"/>
    <w:rsid w:val="00EE74B0"/>
    <w:rsid w:val="00EF0A66"/>
    <w:rsid w:val="00EF2ADB"/>
    <w:rsid w:val="00EF463D"/>
    <w:rsid w:val="00F007CF"/>
    <w:rsid w:val="00F0235D"/>
    <w:rsid w:val="00F03A6B"/>
    <w:rsid w:val="00F049E4"/>
    <w:rsid w:val="00F060F1"/>
    <w:rsid w:val="00F07AD3"/>
    <w:rsid w:val="00F139AB"/>
    <w:rsid w:val="00F166CA"/>
    <w:rsid w:val="00F41765"/>
    <w:rsid w:val="00F51567"/>
    <w:rsid w:val="00F51BBE"/>
    <w:rsid w:val="00F54E70"/>
    <w:rsid w:val="00F5534D"/>
    <w:rsid w:val="00F55742"/>
    <w:rsid w:val="00F61476"/>
    <w:rsid w:val="00F61EBA"/>
    <w:rsid w:val="00F82A32"/>
    <w:rsid w:val="00F8494C"/>
    <w:rsid w:val="00F87BD6"/>
    <w:rsid w:val="00F97C18"/>
    <w:rsid w:val="00FA24F8"/>
    <w:rsid w:val="00FA7A62"/>
    <w:rsid w:val="00FB3C41"/>
    <w:rsid w:val="00FB6984"/>
    <w:rsid w:val="00FB7A3F"/>
    <w:rsid w:val="00FC20A5"/>
    <w:rsid w:val="00FC2895"/>
    <w:rsid w:val="00FD3581"/>
    <w:rsid w:val="00FD59E1"/>
    <w:rsid w:val="00FE614A"/>
    <w:rsid w:val="00FE7CED"/>
    <w:rsid w:val="00FF0F1A"/>
    <w:rsid w:val="00FF679A"/>
    <w:rsid w:val="00FF6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26EF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qFormat/>
    <w:rsid w:val="008F35E0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226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3226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Hyperlink"/>
    <w:rsid w:val="003226EF"/>
    <w:rPr>
      <w:color w:val="0000FF"/>
      <w:u w:val="single"/>
    </w:rPr>
  </w:style>
  <w:style w:type="character" w:styleId="a7">
    <w:name w:val="FollowedHyperlink"/>
    <w:rsid w:val="003226EF"/>
    <w:rPr>
      <w:color w:val="800080"/>
      <w:u w:val="single"/>
    </w:rPr>
  </w:style>
  <w:style w:type="character" w:styleId="a8">
    <w:name w:val="Emphasis"/>
    <w:qFormat/>
    <w:rsid w:val="003226EF"/>
    <w:rPr>
      <w:b w:val="0"/>
      <w:bCs w:val="0"/>
      <w:i w:val="0"/>
      <w:iCs w:val="0"/>
      <w:color w:val="CC0033"/>
    </w:rPr>
  </w:style>
  <w:style w:type="character" w:customStyle="1" w:styleId="breadcrumbspathway">
    <w:name w:val="breadcrumbs pathway"/>
    <w:basedOn w:val="a0"/>
    <w:rsid w:val="003226EF"/>
  </w:style>
  <w:style w:type="paragraph" w:styleId="a9">
    <w:name w:val="Balloon Text"/>
    <w:basedOn w:val="a"/>
    <w:semiHidden/>
    <w:unhideWhenUsed/>
    <w:rsid w:val="003226EF"/>
    <w:rPr>
      <w:rFonts w:ascii="Cambria" w:hAnsi="Cambria"/>
      <w:sz w:val="18"/>
      <w:szCs w:val="18"/>
    </w:rPr>
  </w:style>
  <w:style w:type="character" w:customStyle="1" w:styleId="aa">
    <w:name w:val="註解方塊文字 字元"/>
    <w:semiHidden/>
    <w:rsid w:val="003226EF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googqs-tidbit">
    <w:name w:val="goog_qs-tidbit"/>
    <w:basedOn w:val="a0"/>
    <w:rsid w:val="003226EF"/>
  </w:style>
  <w:style w:type="character" w:customStyle="1" w:styleId="apple-converted-space">
    <w:name w:val="apple-converted-space"/>
    <w:basedOn w:val="a0"/>
    <w:rsid w:val="003226EF"/>
  </w:style>
  <w:style w:type="character" w:customStyle="1" w:styleId="apple-style-span">
    <w:name w:val="apple-style-span"/>
    <w:basedOn w:val="a0"/>
    <w:rsid w:val="00CF16DE"/>
  </w:style>
  <w:style w:type="paragraph" w:customStyle="1" w:styleId="10">
    <w:name w:val="清單段落1"/>
    <w:basedOn w:val="a"/>
    <w:rsid w:val="00264272"/>
    <w:pPr>
      <w:ind w:leftChars="200" w:left="480"/>
    </w:pPr>
    <w:rPr>
      <w:rFonts w:ascii="Calibri" w:hAnsi="Calibri"/>
      <w:szCs w:val="22"/>
    </w:rPr>
  </w:style>
  <w:style w:type="paragraph" w:styleId="Web">
    <w:name w:val="Normal (Web)"/>
    <w:basedOn w:val="a"/>
    <w:uiPriority w:val="99"/>
    <w:rsid w:val="005644F2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font02">
    <w:name w:val="font02"/>
    <w:basedOn w:val="a"/>
    <w:rsid w:val="005644F2"/>
    <w:pPr>
      <w:widowControl/>
      <w:spacing w:before="100" w:beforeAutospacing="1" w:after="100" w:afterAutospacing="1"/>
    </w:pPr>
    <w:rPr>
      <w:rFonts w:ascii="新細明體" w:hAnsi="新細明體" w:cs="新細明體"/>
      <w:color w:val="222222"/>
      <w:kern w:val="0"/>
      <w:lang w:bidi="hi-IN"/>
    </w:rPr>
  </w:style>
  <w:style w:type="character" w:customStyle="1" w:styleId="style71">
    <w:name w:val="style71"/>
    <w:rsid w:val="00881AF5"/>
    <w:rPr>
      <w:rFonts w:ascii="Times New Roman" w:hAnsi="Times New Roman" w:hint="default"/>
    </w:rPr>
  </w:style>
  <w:style w:type="character" w:styleId="ab">
    <w:name w:val="Strong"/>
    <w:uiPriority w:val="99"/>
    <w:qFormat/>
    <w:rsid w:val="00CA0704"/>
    <w:rPr>
      <w:b/>
      <w:bCs/>
    </w:rPr>
  </w:style>
  <w:style w:type="character" w:customStyle="1" w:styleId="st1">
    <w:name w:val="st1"/>
    <w:basedOn w:val="a0"/>
    <w:rsid w:val="00E26397"/>
  </w:style>
  <w:style w:type="character" w:customStyle="1" w:styleId="footnotenumber">
    <w:name w:val="footnote_number"/>
    <w:basedOn w:val="a0"/>
    <w:rsid w:val="00315B1B"/>
  </w:style>
  <w:style w:type="paragraph" w:customStyle="1" w:styleId="Default">
    <w:name w:val="Default"/>
    <w:rsid w:val="0080171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  <w:lang w:bidi="he-IL"/>
    </w:rPr>
  </w:style>
  <w:style w:type="character" w:customStyle="1" w:styleId="shorttext">
    <w:name w:val="short_text"/>
    <w:basedOn w:val="a0"/>
    <w:rsid w:val="00872993"/>
  </w:style>
  <w:style w:type="character" w:customStyle="1" w:styleId="a4">
    <w:name w:val="頁首 字元"/>
    <w:link w:val="a3"/>
    <w:rsid w:val="0012144D"/>
    <w:rPr>
      <w:rFonts w:eastAsia="新細明體"/>
      <w:kern w:val="2"/>
      <w:lang w:val="en-US" w:eastAsia="zh-TW" w:bidi="ar-SA"/>
    </w:rPr>
  </w:style>
  <w:style w:type="character" w:customStyle="1" w:styleId="textexposedshow">
    <w:name w:val="text_exposed_show"/>
    <w:basedOn w:val="a0"/>
    <w:rsid w:val="0093199C"/>
  </w:style>
  <w:style w:type="character" w:customStyle="1" w:styleId="bold1">
    <w:name w:val="bold1"/>
    <w:basedOn w:val="a0"/>
    <w:rsid w:val="008845BA"/>
    <w:rPr>
      <w:b/>
      <w:bCs/>
    </w:rPr>
  </w:style>
  <w:style w:type="table" w:styleId="ac">
    <w:name w:val="Table Grid"/>
    <w:basedOn w:val="a1"/>
    <w:rsid w:val="003C4CD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99"/>
    <w:qFormat/>
    <w:rsid w:val="00FE7CED"/>
    <w:pPr>
      <w:ind w:leftChars="200" w:left="480"/>
    </w:pPr>
    <w:rPr>
      <w:rFonts w:ascii="Calibri" w:hAnsi="Calibri"/>
      <w:szCs w:val="22"/>
    </w:rPr>
  </w:style>
  <w:style w:type="paragraph" w:customStyle="1" w:styleId="m-4432429833575846576m-9066279047794864691gmail-m4579433379537909631gmail-msolistparagraph">
    <w:name w:val="m_-4432429833575846576m_-9066279047794864691gmail-m4579433379537909631gmail-msolistparagraph"/>
    <w:basedOn w:val="a"/>
    <w:rsid w:val="00A446D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9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52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2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16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3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9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8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87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3156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1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21513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22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0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0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12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70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269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23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425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255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068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081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210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40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502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1529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133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9532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30240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76332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6593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1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4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62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68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16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90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534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863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756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3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33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9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08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53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7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10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71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87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0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39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83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50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92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06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1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1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06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19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015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167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95821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35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00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05341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35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80096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029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7997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7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43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1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37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16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84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3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2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79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43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84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92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78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294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5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3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49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85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69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47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1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15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2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65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28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682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279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836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3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7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76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2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2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70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71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48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912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0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040862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9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90139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21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3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168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5727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2450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da.gov.tw/tc/includes/GetFile.ashx?mid=133&amp;id=26863&amp;t=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6F64F-9A7A-4FE1-A9C7-B882427E8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881</Characters>
  <Application>Microsoft Office Word</Application>
  <DocSecurity>0</DocSecurity>
  <Lines>7</Lines>
  <Paragraphs>2</Paragraphs>
  <ScaleCrop>false</ScaleCrop>
  <Company>vghks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高榮藥物不良反應小組公告</dc:title>
  <dc:creator>office</dc:creator>
  <cp:lastModifiedBy>office</cp:lastModifiedBy>
  <cp:revision>2</cp:revision>
  <cp:lastPrinted>2018-04-02T07:16:00Z</cp:lastPrinted>
  <dcterms:created xsi:type="dcterms:W3CDTF">2018-05-16T01:55:00Z</dcterms:created>
  <dcterms:modified xsi:type="dcterms:W3CDTF">2018-05-16T01:55:00Z</dcterms:modified>
</cp:coreProperties>
</file>