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42C" w:rsidRDefault="00B9042C">
      <w:pPr>
        <w:pStyle w:val="a3"/>
        <w:rPr>
          <w:rFonts w:hint="eastAsia"/>
          <w:sz w:val="32"/>
        </w:rPr>
      </w:pPr>
      <w:r>
        <w:rPr>
          <w:rFonts w:hint="eastAsia"/>
          <w:sz w:val="32"/>
        </w:rPr>
        <w:t>修正「</w:t>
      </w:r>
      <w:r w:rsidR="003B4EE2">
        <w:rPr>
          <w:rFonts w:hint="eastAsia"/>
          <w:sz w:val="32"/>
        </w:rPr>
        <w:t>行政院國軍退除役官兵輔導委員會</w:t>
      </w:r>
      <w:r>
        <w:rPr>
          <w:rFonts w:hint="eastAsia"/>
          <w:sz w:val="32"/>
        </w:rPr>
        <w:t>公務人員陞任評分標準表」總說明</w:t>
      </w:r>
    </w:p>
    <w:p w:rsidR="00B9042C" w:rsidRDefault="00B9042C">
      <w:pPr>
        <w:numPr>
          <w:ilvl w:val="0"/>
          <w:numId w:val="2"/>
        </w:numPr>
        <w:spacing w:beforeLines="50" w:line="520" w:lineRule="exact"/>
        <w:jc w:val="both"/>
        <w:rPr>
          <w:rFonts w:ascii="標楷體" w:eastAsia="標楷體" w:hAnsi="標楷體" w:hint="eastAsia"/>
          <w:sz w:val="32"/>
        </w:rPr>
      </w:pPr>
      <w:r>
        <w:rPr>
          <w:rFonts w:ascii="標楷體" w:eastAsia="標楷體" w:hAnsi="標楷體" w:hint="eastAsia"/>
          <w:sz w:val="32"/>
          <w:szCs w:val="32"/>
        </w:rPr>
        <w:t>依</w:t>
      </w:r>
      <w:r>
        <w:rPr>
          <w:rFonts w:ascii="標楷體" w:eastAsia="標楷體" w:hAnsi="標楷體"/>
          <w:sz w:val="32"/>
          <w:szCs w:val="32"/>
        </w:rPr>
        <w:t>公務人員陞遷法第7條規定</w:t>
      </w:r>
      <w:r>
        <w:rPr>
          <w:rFonts w:ascii="標楷體" w:eastAsia="標楷體" w:hAnsi="標楷體" w:hint="eastAsia"/>
          <w:sz w:val="32"/>
          <w:szCs w:val="32"/>
        </w:rPr>
        <w:t>略以，</w:t>
      </w:r>
      <w:r>
        <w:rPr>
          <w:rFonts w:ascii="標楷體" w:eastAsia="標楷體" w:hAnsi="標楷體"/>
          <w:sz w:val="32"/>
          <w:szCs w:val="32"/>
        </w:rPr>
        <w:t>各機關辦理本機關人員之陞任，應依擬陞任職務所需知能，就考試、學歷、職務歷練、訓練、進修、年資、考績（成）、獎懲及發展潛能等項目，訂定標準，評定分數，</w:t>
      </w:r>
      <w:r>
        <w:rPr>
          <w:rFonts w:ascii="標楷體" w:eastAsia="標楷體" w:hAnsi="標楷體" w:hint="eastAsia"/>
          <w:sz w:val="32"/>
          <w:szCs w:val="32"/>
        </w:rPr>
        <w:t>該</w:t>
      </w:r>
      <w:r>
        <w:rPr>
          <w:rFonts w:ascii="標楷體" w:eastAsia="標楷體" w:hAnsi="標楷體"/>
          <w:sz w:val="32"/>
          <w:szCs w:val="32"/>
        </w:rPr>
        <w:t>標準由主管院訂定。</w:t>
      </w:r>
    </w:p>
    <w:p w:rsidR="00B9042C" w:rsidRDefault="00B9042C">
      <w:pPr>
        <w:numPr>
          <w:ilvl w:val="0"/>
          <w:numId w:val="2"/>
        </w:numPr>
        <w:spacing w:beforeLines="50" w:line="520" w:lineRule="exact"/>
        <w:jc w:val="both"/>
        <w:rPr>
          <w:rFonts w:ascii="標楷體" w:eastAsia="標楷體" w:hAnsi="標楷體" w:hint="eastAsia"/>
          <w:sz w:val="32"/>
        </w:rPr>
      </w:pPr>
      <w:r>
        <w:rPr>
          <w:rFonts w:ascii="標楷體" w:eastAsia="標楷體" w:hAnsi="標楷體" w:hint="eastAsia"/>
          <w:sz w:val="32"/>
        </w:rPr>
        <w:t>茲考量公務人員之陞遷應依其資績及工作表現，予以拔擢</w:t>
      </w:r>
      <w:r>
        <w:rPr>
          <w:rFonts w:ascii="標楷體" w:eastAsia="標楷體" w:hAnsi="標楷體"/>
          <w:sz w:val="32"/>
        </w:rPr>
        <w:t>，</w:t>
      </w:r>
      <w:r>
        <w:rPr>
          <w:rFonts w:ascii="標楷體" w:eastAsia="標楷體" w:hAnsi="標楷體" w:hint="eastAsia"/>
          <w:sz w:val="32"/>
        </w:rPr>
        <w:t>爰</w:t>
      </w:r>
      <w:r w:rsidR="00E21A53">
        <w:rPr>
          <w:rFonts w:ascii="標楷體" w:eastAsia="標楷體" w:hAnsi="標楷體" w:hint="eastAsia"/>
          <w:sz w:val="32"/>
        </w:rPr>
        <w:t>依行政院</w:t>
      </w:r>
      <w:smartTag w:uri="urn:schemas-microsoft-com:office:smarttags" w:element="chsdate">
        <w:smartTagPr>
          <w:attr w:name="Year" w:val="1999"/>
          <w:attr w:name="Month" w:val="9"/>
          <w:attr w:name="Day" w:val="1"/>
          <w:attr w:name="IsLunarDate" w:val="False"/>
          <w:attr w:name="IsROCDate" w:val="False"/>
        </w:smartTagPr>
        <w:r w:rsidR="00E21A53">
          <w:rPr>
            <w:rFonts w:ascii="標楷體" w:eastAsia="標楷體" w:hAnsi="標楷體" w:hint="eastAsia"/>
            <w:sz w:val="32"/>
          </w:rPr>
          <w:t>99年9月1日</w:t>
        </w:r>
      </w:smartTag>
      <w:r w:rsidR="00E21A53">
        <w:rPr>
          <w:rFonts w:ascii="標楷體" w:eastAsia="標楷體" w:hAnsi="標楷體" w:hint="eastAsia"/>
          <w:sz w:val="32"/>
        </w:rPr>
        <w:t>院授人力字第0990064272號函修正「行政院及所屬各級政府機關</w:t>
      </w:r>
      <w:r w:rsidR="00BD1C1C">
        <w:rPr>
          <w:rFonts w:ascii="標楷體" w:eastAsia="標楷體" w:hAnsi="標楷體" w:hint="eastAsia"/>
          <w:sz w:val="32"/>
        </w:rPr>
        <w:t>公立</w:t>
      </w:r>
      <w:r w:rsidR="00E21A53">
        <w:rPr>
          <w:rFonts w:ascii="標楷體" w:eastAsia="標楷體" w:hAnsi="標楷體" w:hint="eastAsia"/>
          <w:sz w:val="32"/>
        </w:rPr>
        <w:t>學校公務人員陞任評分標準表」，</w:t>
      </w:r>
      <w:r>
        <w:rPr>
          <w:rFonts w:ascii="標楷體" w:eastAsia="標楷體" w:hAnsi="標楷體" w:hint="eastAsia"/>
          <w:sz w:val="32"/>
        </w:rPr>
        <w:t>修正「</w:t>
      </w:r>
      <w:r w:rsidR="003B4EE2" w:rsidRPr="003B4EE2">
        <w:rPr>
          <w:rFonts w:ascii="標楷體" w:eastAsia="標楷體" w:hAnsi="標楷體" w:hint="eastAsia"/>
          <w:sz w:val="32"/>
          <w:szCs w:val="32"/>
        </w:rPr>
        <w:t>行政院國軍退除役官兵輔導委員會</w:t>
      </w:r>
      <w:r>
        <w:rPr>
          <w:rFonts w:eastAsia="標楷體" w:hint="eastAsia"/>
          <w:sz w:val="32"/>
        </w:rPr>
        <w:t>公務人員陞任評分標準表</w:t>
      </w:r>
      <w:r>
        <w:rPr>
          <w:rFonts w:ascii="標楷體" w:eastAsia="標楷體" w:hAnsi="標楷體" w:hint="eastAsia"/>
          <w:sz w:val="32"/>
        </w:rPr>
        <w:t>」</w:t>
      </w:r>
      <w:r>
        <w:rPr>
          <w:rFonts w:ascii="標楷體" w:eastAsia="標楷體" w:hAnsi="標楷體" w:hint="eastAsia"/>
          <w:sz w:val="32"/>
          <w:szCs w:val="32"/>
        </w:rPr>
        <w:t>，</w:t>
      </w:r>
      <w:r>
        <w:rPr>
          <w:rFonts w:ascii="標楷體" w:eastAsia="標楷體" w:hAnsi="標楷體" w:hint="eastAsia"/>
          <w:sz w:val="32"/>
        </w:rPr>
        <w:t>重點說明如下：</w:t>
      </w:r>
    </w:p>
    <w:p w:rsidR="00B9042C" w:rsidRDefault="00B9042C">
      <w:pPr>
        <w:pStyle w:val="a8"/>
        <w:numPr>
          <w:ilvl w:val="1"/>
          <w:numId w:val="4"/>
        </w:numPr>
        <w:spacing w:before="50" w:line="520" w:lineRule="exact"/>
        <w:ind w:firstLineChars="0"/>
        <w:jc w:val="both"/>
        <w:rPr>
          <w:rFonts w:ascii="標楷體" w:hAnsi="標楷體" w:hint="eastAsia"/>
        </w:rPr>
      </w:pPr>
      <w:r>
        <w:rPr>
          <w:rFonts w:ascii="標楷體" w:hAnsi="標楷體" w:hint="eastAsia"/>
          <w:szCs w:val="32"/>
        </w:rPr>
        <w:t>「選項區分（配分比例）」欄位文字修正為「選項區分（配比分數）」。</w:t>
      </w:r>
    </w:p>
    <w:p w:rsidR="00B9042C" w:rsidRDefault="00B9042C">
      <w:pPr>
        <w:pStyle w:val="a8"/>
        <w:numPr>
          <w:ilvl w:val="1"/>
          <w:numId w:val="4"/>
        </w:numPr>
        <w:spacing w:before="50" w:line="520" w:lineRule="exact"/>
        <w:ind w:firstLineChars="0"/>
        <w:jc w:val="both"/>
        <w:rPr>
          <w:rFonts w:ascii="標楷體" w:hAnsi="標楷體" w:hint="eastAsia"/>
        </w:rPr>
      </w:pPr>
      <w:r>
        <w:rPr>
          <w:rFonts w:ascii="標楷體" w:hAnsi="標楷體" w:hint="eastAsia"/>
          <w:szCs w:val="32"/>
        </w:rPr>
        <w:t>共同選項：</w:t>
      </w:r>
    </w:p>
    <w:p w:rsidR="00B9042C" w:rsidRDefault="00B9042C">
      <w:pPr>
        <w:numPr>
          <w:ilvl w:val="2"/>
          <w:numId w:val="5"/>
        </w:numPr>
        <w:adjustRightInd w:val="0"/>
        <w:snapToGrid w:val="0"/>
        <w:spacing w:before="50" w:line="520" w:lineRule="exact"/>
        <w:ind w:left="2041"/>
        <w:jc w:val="both"/>
        <w:rPr>
          <w:rFonts w:ascii="標楷體" w:eastAsia="標楷體" w:hAnsi="標楷體" w:hint="eastAsia"/>
          <w:sz w:val="32"/>
        </w:rPr>
      </w:pPr>
      <w:r>
        <w:rPr>
          <w:rFonts w:ascii="標楷體" w:eastAsia="標楷體" w:hAnsi="標楷體" w:hint="eastAsia"/>
          <w:sz w:val="32"/>
          <w:szCs w:val="32"/>
        </w:rPr>
        <w:t>學歷部分：</w:t>
      </w:r>
      <w:r>
        <w:rPr>
          <w:rFonts w:ascii="標楷體" w:eastAsia="標楷體" w:hAnsi="標楷體" w:hint="eastAsia"/>
          <w:sz w:val="32"/>
        </w:rPr>
        <w:t>說明欄增列，所屬人員於</w:t>
      </w:r>
      <w:r>
        <w:rPr>
          <w:rFonts w:ascii="標楷體" w:eastAsia="標楷體" w:hAnsi="標楷體" w:hint="eastAsia"/>
          <w:sz w:val="32"/>
          <w:szCs w:val="28"/>
        </w:rPr>
        <w:t>初任公職後</w:t>
      </w:r>
      <w:r>
        <w:rPr>
          <w:rFonts w:ascii="標楷體" w:eastAsia="標楷體" w:hAnsi="標楷體" w:hint="eastAsia"/>
          <w:sz w:val="32"/>
        </w:rPr>
        <w:t>取得之更高學歷，得由甄審委員會視該學歷與擬任職務性質是否相關審酌決定採計評分。</w:t>
      </w:r>
    </w:p>
    <w:p w:rsidR="00B9042C" w:rsidRDefault="00B9042C">
      <w:pPr>
        <w:numPr>
          <w:ilvl w:val="2"/>
          <w:numId w:val="5"/>
        </w:numPr>
        <w:adjustRightInd w:val="0"/>
        <w:snapToGrid w:val="0"/>
        <w:spacing w:before="50" w:line="520" w:lineRule="exact"/>
        <w:jc w:val="both"/>
        <w:rPr>
          <w:rFonts w:ascii="標楷體" w:eastAsia="標楷體" w:hAnsi="標楷體" w:hint="eastAsia"/>
          <w:sz w:val="32"/>
        </w:rPr>
      </w:pPr>
      <w:r>
        <w:rPr>
          <w:rFonts w:ascii="標楷體" w:eastAsia="標楷體" w:hAnsi="標楷體" w:hint="eastAsia"/>
          <w:sz w:val="32"/>
          <w:szCs w:val="32"/>
        </w:rPr>
        <w:t>考試部分：增列</w:t>
      </w:r>
      <w:smartTag w:uri="urn:schemas-microsoft-com:office:smarttags" w:element="chsdate">
        <w:smartTagPr>
          <w:attr w:name="Year" w:val="1991"/>
          <w:attr w:name="Month" w:val="1"/>
          <w:attr w:name="Day" w:val="29"/>
          <w:attr w:name="IsLunarDate" w:val="False"/>
          <w:attr w:name="IsROCDate" w:val="False"/>
        </w:smartTagPr>
        <w:r>
          <w:rPr>
            <w:rFonts w:ascii="標楷體" w:eastAsia="標楷體" w:hAnsi="標楷體" w:hint="eastAsia"/>
            <w:sz w:val="32"/>
          </w:rPr>
          <w:t>91年1月29日</w:t>
        </w:r>
      </w:smartTag>
      <w:r>
        <w:rPr>
          <w:rFonts w:ascii="標楷體" w:eastAsia="標楷體" w:hAnsi="標楷體" w:hint="eastAsia"/>
          <w:sz w:val="32"/>
        </w:rPr>
        <w:t>公務人員任用法修正施行前，以考績取得簡任任用資格（簡任存記）者，與簡任升官等考試及格或晉升簡任官等訓練合格者相同，評分標準均修正為以4.5分計。</w:t>
      </w:r>
    </w:p>
    <w:p w:rsidR="00B9042C" w:rsidRDefault="00B9042C">
      <w:pPr>
        <w:numPr>
          <w:ilvl w:val="2"/>
          <w:numId w:val="5"/>
        </w:numPr>
        <w:adjustRightInd w:val="0"/>
        <w:snapToGrid w:val="0"/>
        <w:spacing w:before="50" w:line="520" w:lineRule="exact"/>
        <w:jc w:val="both"/>
        <w:rPr>
          <w:rFonts w:ascii="標楷體" w:eastAsia="標楷體" w:hAnsi="標楷體" w:hint="eastAsia"/>
          <w:sz w:val="32"/>
        </w:rPr>
      </w:pPr>
      <w:r>
        <w:rPr>
          <w:rFonts w:ascii="標楷體" w:eastAsia="標楷體" w:hAnsi="標楷體" w:hint="eastAsia"/>
          <w:sz w:val="32"/>
        </w:rPr>
        <w:t>年資部分：配合公務人員陞遷法施行細則第4條，有關副主管職務，</w:t>
      </w:r>
      <w:r>
        <w:rPr>
          <w:rFonts w:ascii="標楷體" w:eastAsia="標楷體" w:hAnsi="標楷體" w:hint="eastAsia"/>
          <w:kern w:val="0"/>
          <w:sz w:val="32"/>
        </w:rPr>
        <w:t>除特定情況外，不得與</w:t>
      </w:r>
      <w:r>
        <w:rPr>
          <w:rFonts w:ascii="標楷體" w:eastAsia="標楷體" w:hAnsi="標楷體" w:hint="eastAsia"/>
          <w:kern w:val="0"/>
          <w:sz w:val="32"/>
        </w:rPr>
        <w:lastRenderedPageBreak/>
        <w:t>非主管職務列同一陞遷序列之</w:t>
      </w:r>
      <w:r>
        <w:rPr>
          <w:rFonts w:ascii="標楷體" w:eastAsia="標楷體" w:hAnsi="標楷體" w:hint="eastAsia"/>
          <w:sz w:val="32"/>
        </w:rPr>
        <w:t>精神，增列副主管職務之年資計算，評分標準以1.6分計。</w:t>
      </w:r>
    </w:p>
    <w:p w:rsidR="00B9042C" w:rsidRDefault="00B9042C">
      <w:pPr>
        <w:pStyle w:val="a8"/>
        <w:numPr>
          <w:ilvl w:val="1"/>
          <w:numId w:val="4"/>
        </w:numPr>
        <w:spacing w:before="50" w:line="520" w:lineRule="exact"/>
        <w:ind w:firstLineChars="0"/>
        <w:jc w:val="both"/>
        <w:rPr>
          <w:rFonts w:ascii="標楷體" w:hAnsi="標楷體" w:hint="eastAsia"/>
        </w:rPr>
      </w:pPr>
      <w:r>
        <w:rPr>
          <w:rFonts w:ascii="標楷體" w:hAnsi="標楷體" w:hint="eastAsia"/>
          <w:szCs w:val="32"/>
        </w:rPr>
        <w:t>個別選項：</w:t>
      </w:r>
    </w:p>
    <w:p w:rsidR="00B9042C" w:rsidRDefault="000B3C19">
      <w:pPr>
        <w:pStyle w:val="a8"/>
        <w:numPr>
          <w:ilvl w:val="2"/>
          <w:numId w:val="4"/>
        </w:numPr>
        <w:spacing w:before="50" w:line="520" w:lineRule="exact"/>
        <w:ind w:firstLineChars="0"/>
        <w:jc w:val="both"/>
        <w:rPr>
          <w:rFonts w:hint="eastAsia"/>
        </w:rPr>
      </w:pPr>
      <w:r w:rsidRPr="00D8398D">
        <w:rPr>
          <w:rFonts w:hint="eastAsia"/>
        </w:rPr>
        <w:t>依行政院規定，原「職務歷練」及「發展潛能」項目合併為「職務歷練與發展潛能」。</w:t>
      </w:r>
    </w:p>
    <w:p w:rsidR="000B3C19" w:rsidRPr="00DC5C0A" w:rsidRDefault="00952A4A">
      <w:pPr>
        <w:pStyle w:val="a8"/>
        <w:numPr>
          <w:ilvl w:val="2"/>
          <w:numId w:val="4"/>
        </w:numPr>
        <w:spacing w:before="50" w:line="520" w:lineRule="exact"/>
        <w:ind w:firstLineChars="0"/>
        <w:jc w:val="both"/>
        <w:rPr>
          <w:rFonts w:hint="eastAsia"/>
          <w:color w:val="000000"/>
        </w:rPr>
      </w:pPr>
      <w:r w:rsidRPr="00475AFC">
        <w:rPr>
          <w:rFonts w:hint="eastAsia"/>
        </w:rPr>
        <w:t>原「協調溝通」</w:t>
      </w:r>
      <w:r w:rsidR="00E02492">
        <w:rPr>
          <w:rFonts w:hint="eastAsia"/>
        </w:rPr>
        <w:t>項目</w:t>
      </w:r>
      <w:r w:rsidRPr="00475AFC">
        <w:rPr>
          <w:rFonts w:hint="eastAsia"/>
        </w:rPr>
        <w:t>，配合本會共同核心能力之選定，修正名稱為「共同核心能力（敬業精神、溝通協調、團隊合作、研究創新）」並調高配分。</w:t>
      </w:r>
    </w:p>
    <w:p w:rsidR="00DC5C0A" w:rsidRPr="00952A4A" w:rsidRDefault="00AF0EEB" w:rsidP="00AF0EEB">
      <w:pPr>
        <w:pStyle w:val="a8"/>
        <w:numPr>
          <w:ilvl w:val="2"/>
          <w:numId w:val="4"/>
        </w:numPr>
        <w:spacing w:before="50" w:line="520" w:lineRule="exact"/>
        <w:ind w:firstLineChars="0"/>
        <w:jc w:val="both"/>
        <w:rPr>
          <w:rFonts w:hint="eastAsia"/>
          <w:color w:val="000000"/>
        </w:rPr>
      </w:pPr>
      <w:r w:rsidRPr="00D8398D">
        <w:rPr>
          <w:rFonts w:hint="eastAsia"/>
        </w:rPr>
        <w:t>依行政院規定，原「英語能力」修正為「語言能力」，並包含本國語言與外國語言。</w:t>
      </w:r>
      <w:r>
        <w:rPr>
          <w:rFonts w:hint="eastAsia"/>
        </w:rPr>
        <w:t>另</w:t>
      </w:r>
      <w:r w:rsidRPr="00D8398D">
        <w:rPr>
          <w:rFonts w:hint="eastAsia"/>
        </w:rPr>
        <w:t>增列中文能力配分，並配合調整英語等外國語言能力測驗各等級加分標準。</w:t>
      </w:r>
    </w:p>
    <w:p w:rsidR="004B68F7" w:rsidRPr="004B68F7" w:rsidRDefault="00B611B4">
      <w:pPr>
        <w:pStyle w:val="a8"/>
        <w:numPr>
          <w:ilvl w:val="1"/>
          <w:numId w:val="4"/>
        </w:numPr>
        <w:spacing w:before="50" w:line="520" w:lineRule="exact"/>
        <w:ind w:firstLineChars="0"/>
        <w:jc w:val="both"/>
        <w:rPr>
          <w:rFonts w:hint="eastAsia"/>
          <w:szCs w:val="32"/>
        </w:rPr>
      </w:pPr>
      <w:r>
        <w:rPr>
          <w:rFonts w:ascii="標楷體" w:hAnsi="標楷體" w:hint="eastAsia"/>
        </w:rPr>
        <w:t>面試或業務測驗</w:t>
      </w:r>
      <w:r w:rsidR="00B9042C">
        <w:rPr>
          <w:rFonts w:ascii="標楷體" w:hAnsi="標楷體" w:hint="eastAsia"/>
        </w:rPr>
        <w:t>：</w:t>
      </w:r>
    </w:p>
    <w:p w:rsidR="00B9042C" w:rsidRDefault="004B68F7" w:rsidP="006215D1">
      <w:pPr>
        <w:pStyle w:val="a8"/>
        <w:spacing w:before="50" w:line="520" w:lineRule="exact"/>
        <w:ind w:leftChars="750" w:left="1800" w:firstLineChars="1" w:firstLine="3"/>
        <w:jc w:val="both"/>
        <w:rPr>
          <w:rFonts w:hint="eastAsia"/>
          <w:szCs w:val="32"/>
        </w:rPr>
      </w:pPr>
      <w:r w:rsidRPr="00FC2746">
        <w:rPr>
          <w:rFonts w:hint="eastAsia"/>
          <w:szCs w:val="32"/>
        </w:rPr>
        <w:t>基於擇優陞遷之旨，使優秀人才免於過度受制年資致無法陞任，爰酌予調増面試或業務測驗之占分比重</w:t>
      </w:r>
      <w:r>
        <w:rPr>
          <w:rFonts w:hint="eastAsia"/>
          <w:szCs w:val="32"/>
        </w:rPr>
        <w:t>；即內陞案件如有舉行</w:t>
      </w:r>
      <w:r w:rsidRPr="00FC2746">
        <w:rPr>
          <w:rFonts w:ascii="標楷體" w:hAnsi="標楷體" w:hint="eastAsia"/>
          <w:szCs w:val="32"/>
        </w:rPr>
        <w:t>面試或業務測驗</w:t>
      </w:r>
      <w:r>
        <w:rPr>
          <w:rFonts w:ascii="標楷體" w:hAnsi="標楷體" w:hint="eastAsia"/>
          <w:szCs w:val="32"/>
        </w:rPr>
        <w:t>，該</w:t>
      </w:r>
      <w:r w:rsidRPr="00FC2746">
        <w:rPr>
          <w:rFonts w:ascii="標楷體" w:hAnsi="標楷體" w:hint="eastAsia"/>
          <w:szCs w:val="32"/>
        </w:rPr>
        <w:t>面試或業務測驗占總成績30%，資績評分占70%</w:t>
      </w:r>
      <w:r w:rsidRPr="00FC2746">
        <w:rPr>
          <w:rFonts w:hint="eastAsia"/>
          <w:szCs w:val="32"/>
        </w:rPr>
        <w:t>。</w:t>
      </w:r>
    </w:p>
    <w:p w:rsidR="00B9042C" w:rsidRDefault="00B9042C">
      <w:pPr>
        <w:pStyle w:val="a8"/>
        <w:spacing w:beforeLines="50" w:line="520" w:lineRule="exact"/>
        <w:ind w:left="0" w:firstLineChars="0" w:firstLine="0"/>
        <w:jc w:val="both"/>
        <w:rPr>
          <w:rFonts w:hint="eastAsia"/>
        </w:rPr>
      </w:pPr>
    </w:p>
    <w:sectPr w:rsidR="00B9042C">
      <w:footerReference w:type="even"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26E" w:rsidRDefault="007A126E">
      <w:r>
        <w:separator/>
      </w:r>
    </w:p>
  </w:endnote>
  <w:endnote w:type="continuationSeparator" w:id="1">
    <w:p w:rsidR="007A126E" w:rsidRDefault="007A126E">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5D1" w:rsidRDefault="006215D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215D1" w:rsidRDefault="006215D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5D1" w:rsidRDefault="006215D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65623">
      <w:rPr>
        <w:rStyle w:val="a6"/>
        <w:noProof/>
      </w:rPr>
      <w:t>1</w:t>
    </w:r>
    <w:r>
      <w:rPr>
        <w:rStyle w:val="a6"/>
      </w:rPr>
      <w:fldChar w:fldCharType="end"/>
    </w:r>
  </w:p>
  <w:p w:rsidR="006215D1" w:rsidRDefault="006215D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26E" w:rsidRDefault="007A126E">
      <w:r>
        <w:separator/>
      </w:r>
    </w:p>
  </w:footnote>
  <w:footnote w:type="continuationSeparator" w:id="1">
    <w:p w:rsidR="007A126E" w:rsidRDefault="007A12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647A"/>
    <w:multiLevelType w:val="multilevel"/>
    <w:tmpl w:val="773EE40C"/>
    <w:lvl w:ilvl="0">
      <w:start w:val="1"/>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
    <w:nsid w:val="08AC53FB"/>
    <w:multiLevelType w:val="multilevel"/>
    <w:tmpl w:val="BC76B292"/>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191" w:hanging="715"/>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2">
    <w:nsid w:val="32116DE3"/>
    <w:multiLevelType w:val="hybridMultilevel"/>
    <w:tmpl w:val="2CE2448C"/>
    <w:lvl w:ilvl="0" w:tplc="FC200668">
      <w:start w:val="1"/>
      <w:numFmt w:val="taiwaneseCountingThousand"/>
      <w:lvlText w:val="%1、"/>
      <w:lvlJc w:val="left"/>
      <w:pPr>
        <w:tabs>
          <w:tab w:val="num" w:pos="1020"/>
        </w:tabs>
        <w:ind w:left="1020" w:hanging="720"/>
      </w:pPr>
      <w:rPr>
        <w:rFonts w:ascii="Times New Roman" w:hAnsi="Times New Roman" w:hint="eastAsia"/>
      </w:rPr>
    </w:lvl>
    <w:lvl w:ilvl="1" w:tplc="F2D20F84">
      <w:start w:val="1"/>
      <w:numFmt w:val="taiwaneseCountingThousand"/>
      <w:lvlText w:val="（%2）"/>
      <w:lvlJc w:val="left"/>
      <w:pPr>
        <w:tabs>
          <w:tab w:val="num" w:pos="1860"/>
        </w:tabs>
        <w:ind w:left="1860" w:hanging="1080"/>
      </w:pPr>
      <w:rPr>
        <w:rFonts w:hint="eastAsia"/>
      </w:rPr>
    </w:lvl>
    <w:lvl w:ilvl="2" w:tplc="311E9D50">
      <w:start w:val="1"/>
      <w:numFmt w:val="decimal"/>
      <w:lvlText w:val="%3、"/>
      <w:lvlJc w:val="left"/>
      <w:pPr>
        <w:tabs>
          <w:tab w:val="num" w:pos="1980"/>
        </w:tabs>
        <w:ind w:left="1980" w:hanging="720"/>
      </w:pPr>
      <w:rPr>
        <w:rFonts w:hint="eastAsia"/>
        <w:color w:val="000000"/>
      </w:r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3">
    <w:nsid w:val="32DC6EF2"/>
    <w:multiLevelType w:val="multilevel"/>
    <w:tmpl w:val="C18EE63E"/>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191" w:hanging="715"/>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4">
    <w:nsid w:val="3AD418D7"/>
    <w:multiLevelType w:val="multilevel"/>
    <w:tmpl w:val="33049C1C"/>
    <w:lvl w:ilvl="0">
      <w:start w:val="1"/>
      <w:numFmt w:val="taiwaneseCountingThousand"/>
      <w:suff w:val="nothing"/>
      <w:lvlText w:val="%1、"/>
      <w:lvlJc w:val="left"/>
      <w:pPr>
        <w:ind w:left="635" w:hanging="635"/>
      </w:pPr>
      <w:rPr>
        <w:rFonts w:ascii="標楷體" w:eastAsia="標楷體" w:hAnsi="標楷體" w:hint="eastAsia"/>
      </w:rPr>
    </w:lvl>
    <w:lvl w:ilvl="1">
      <w:start w:val="1"/>
      <w:numFmt w:val="taiwaneseCountingThousand"/>
      <w:suff w:val="nothing"/>
      <w:lvlText w:val="(%2)"/>
      <w:lvlJc w:val="left"/>
      <w:pPr>
        <w:ind w:left="1270" w:hanging="635"/>
      </w:pPr>
      <w:rPr>
        <w:rFonts w:ascii="標楷體" w:eastAsia="標楷體" w:hAnsi="標楷體" w:hint="eastAsia"/>
      </w:rPr>
    </w:lvl>
    <w:lvl w:ilvl="2">
      <w:start w:val="1"/>
      <w:numFmt w:val="decimalFullWidth"/>
      <w:suff w:val="nothing"/>
      <w:lvlText w:val="%3、"/>
      <w:lvlJc w:val="left"/>
      <w:pPr>
        <w:ind w:left="1588" w:hanging="635"/>
      </w:pPr>
      <w:rPr>
        <w:rFonts w:ascii="標楷體" w:eastAsia="標楷體" w:hAnsi="標楷體" w:hint="eastAsia"/>
      </w:rPr>
    </w:lvl>
    <w:lvl w:ilvl="3">
      <w:start w:val="1"/>
      <w:numFmt w:val="decimalFullWidth"/>
      <w:suff w:val="nothing"/>
      <w:lvlText w:val="(%4)"/>
      <w:lvlJc w:val="left"/>
      <w:pPr>
        <w:ind w:left="1905" w:hanging="635"/>
      </w:pPr>
      <w:rPr>
        <w:rFonts w:ascii="標楷體" w:eastAsia="標楷體" w:hAnsi="標楷體" w:hint="eastAsia"/>
      </w:rPr>
    </w:lvl>
    <w:lvl w:ilvl="4">
      <w:start w:val="1"/>
      <w:numFmt w:val="ideographTraditional"/>
      <w:suff w:val="nothing"/>
      <w:lvlText w:val="%5、"/>
      <w:lvlJc w:val="left"/>
      <w:pPr>
        <w:ind w:left="2540" w:hanging="635"/>
      </w:pPr>
      <w:rPr>
        <w:rFonts w:ascii="標楷體" w:eastAsia="標楷體" w:hAnsi="標楷體" w:hint="eastAsia"/>
      </w:rPr>
    </w:lvl>
    <w:lvl w:ilvl="5">
      <w:start w:val="1"/>
      <w:numFmt w:val="ideographTraditional"/>
      <w:suff w:val="nothing"/>
      <w:lvlText w:val="(%6)"/>
      <w:lvlJc w:val="left"/>
      <w:pPr>
        <w:ind w:left="2858" w:hanging="635"/>
      </w:pPr>
      <w:rPr>
        <w:rFonts w:ascii="標楷體" w:eastAsia="標楷體" w:hAnsi="標楷體" w:hint="eastAsia"/>
      </w:rPr>
    </w:lvl>
    <w:lvl w:ilvl="6">
      <w:start w:val="1"/>
      <w:numFmt w:val="ideographZodiac"/>
      <w:suff w:val="nothing"/>
      <w:lvlText w:val="%7、"/>
      <w:lvlJc w:val="left"/>
      <w:pPr>
        <w:ind w:left="3493" w:hanging="635"/>
      </w:pPr>
      <w:rPr>
        <w:rFonts w:ascii="標楷體" w:eastAsia="標楷體" w:hAnsi="標楷體" w:hint="eastAsia"/>
      </w:rPr>
    </w:lvl>
    <w:lvl w:ilvl="7">
      <w:start w:val="1"/>
      <w:numFmt w:val="ideographZodiac"/>
      <w:suff w:val="nothing"/>
      <w:lvlText w:val="(%8)"/>
      <w:lvlJc w:val="left"/>
      <w:pPr>
        <w:ind w:left="3810" w:hanging="635"/>
      </w:pPr>
      <w:rPr>
        <w:rFonts w:ascii="標楷體" w:eastAsia="標楷體" w:hAnsi="標楷體" w:hint="eastAsia"/>
      </w:rPr>
    </w:lvl>
    <w:lvl w:ilvl="8">
      <w:start w:val="1"/>
      <w:numFmt w:val="decimalFullWidth"/>
      <w:suff w:val="nothing"/>
      <w:lvlText w:val="%9）"/>
      <w:lvlJc w:val="left"/>
      <w:pPr>
        <w:ind w:left="4445" w:hanging="635"/>
      </w:pPr>
      <w:rPr>
        <w:rFonts w:ascii="標楷體" w:eastAsia="標楷體" w:hAnsi="標楷體" w:hint="eastAsia"/>
      </w:rPr>
    </w:lvl>
  </w:abstractNum>
  <w:abstractNum w:abstractNumId="5">
    <w:nsid w:val="3B8477DB"/>
    <w:multiLevelType w:val="hybridMultilevel"/>
    <w:tmpl w:val="E6BEC490"/>
    <w:lvl w:ilvl="0" w:tplc="20748E20">
      <w:start w:val="1"/>
      <w:numFmt w:val="taiwaneseCountingThousand"/>
      <w:lvlText w:val="%1、"/>
      <w:lvlJc w:val="left"/>
      <w:pPr>
        <w:tabs>
          <w:tab w:val="num" w:pos="1440"/>
        </w:tabs>
        <w:ind w:left="1440" w:hanging="1080"/>
      </w:pPr>
      <w:rPr>
        <w:rFonts w:hint="eastAsia"/>
      </w:rPr>
    </w:lvl>
    <w:lvl w:ilvl="1" w:tplc="60ECB068">
      <w:start w:val="1"/>
      <w:numFmt w:val="taiwaneseCountingThousand"/>
      <w:lvlText w:val="（%2）"/>
      <w:lvlJc w:val="left"/>
      <w:pPr>
        <w:tabs>
          <w:tab w:val="num" w:pos="2115"/>
        </w:tabs>
        <w:ind w:left="2115" w:hanging="1275"/>
      </w:pPr>
      <w:rPr>
        <w:rFonts w:hint="eastAsia"/>
      </w:rPr>
    </w:lvl>
    <w:lvl w:ilvl="2" w:tplc="A670B14E">
      <w:start w:val="1"/>
      <w:numFmt w:val="decimal"/>
      <w:lvlText w:val="%3、"/>
      <w:lvlJc w:val="left"/>
      <w:pPr>
        <w:tabs>
          <w:tab w:val="num" w:pos="2040"/>
        </w:tabs>
        <w:ind w:left="2040" w:hanging="720"/>
      </w:pPr>
      <w:rPr>
        <w:rFonts w:hint="eastAsia"/>
      </w:rPr>
    </w:lvl>
    <w:lvl w:ilvl="3" w:tplc="5192A1E0">
      <w:start w:val="1"/>
      <w:numFmt w:val="decimal"/>
      <w:lvlText w:val="（%4）"/>
      <w:lvlJc w:val="left"/>
      <w:pPr>
        <w:tabs>
          <w:tab w:val="num" w:pos="2880"/>
        </w:tabs>
        <w:ind w:left="2880" w:hanging="1080"/>
      </w:pPr>
      <w:rPr>
        <w:rFonts w:hint="eastAsia"/>
      </w:r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6D31"/>
    <w:rsid w:val="000B3C19"/>
    <w:rsid w:val="00176E7D"/>
    <w:rsid w:val="003B4EE2"/>
    <w:rsid w:val="003B6D31"/>
    <w:rsid w:val="004B68F7"/>
    <w:rsid w:val="004D18C9"/>
    <w:rsid w:val="00565623"/>
    <w:rsid w:val="00575DA5"/>
    <w:rsid w:val="006215D1"/>
    <w:rsid w:val="006C49AA"/>
    <w:rsid w:val="0075470F"/>
    <w:rsid w:val="007A126E"/>
    <w:rsid w:val="007E05FB"/>
    <w:rsid w:val="00895EA8"/>
    <w:rsid w:val="00952A4A"/>
    <w:rsid w:val="00A5181B"/>
    <w:rsid w:val="00AF0EEB"/>
    <w:rsid w:val="00B611B4"/>
    <w:rsid w:val="00B63735"/>
    <w:rsid w:val="00B9042C"/>
    <w:rsid w:val="00BB7AE1"/>
    <w:rsid w:val="00BD1C1C"/>
    <w:rsid w:val="00C11C02"/>
    <w:rsid w:val="00DB595D"/>
    <w:rsid w:val="00DC5C0A"/>
    <w:rsid w:val="00E02492"/>
    <w:rsid w:val="00E21A53"/>
    <w:rsid w:val="00EE1428"/>
    <w:rsid w:val="00F6345A"/>
    <w:rsid w:val="00FE167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480" w:lineRule="exact"/>
    </w:pPr>
    <w:rPr>
      <w:rFonts w:ascii="標楷體" w:eastAsia="標楷體" w:hAnsi="標楷體"/>
      <w:b/>
      <w:bCs/>
      <w:sz w:val="36"/>
    </w:rPr>
  </w:style>
  <w:style w:type="paragraph" w:customStyle="1" w:styleId="a4">
    <w:name w:val="主旨"/>
    <w:basedOn w:val="a"/>
    <w:pPr>
      <w:spacing w:line="500" w:lineRule="exact"/>
    </w:pPr>
    <w:rPr>
      <w:rFonts w:eastAsia="標楷體"/>
      <w:sz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Body Text Indent"/>
    <w:basedOn w:val="a"/>
    <w:pPr>
      <w:spacing w:beforeLines="50" w:line="480" w:lineRule="exact"/>
      <w:ind w:left="953"/>
      <w:jc w:val="both"/>
    </w:pPr>
    <w:rPr>
      <w:rFonts w:ascii="標楷體" w:eastAsia="標楷體" w:hAnsi="標楷體"/>
      <w:sz w:val="32"/>
    </w:rPr>
  </w:style>
  <w:style w:type="paragraph" w:styleId="2">
    <w:name w:val="Body Text Indent 2"/>
    <w:basedOn w:val="a"/>
    <w:pPr>
      <w:spacing w:beforeLines="50" w:line="480" w:lineRule="exact"/>
      <w:ind w:leftChars="531" w:left="1274"/>
      <w:jc w:val="both"/>
    </w:pPr>
    <w:rPr>
      <w:rFonts w:ascii="標楷體" w:eastAsia="標楷體" w:hAnsi="標楷體"/>
      <w:sz w:val="32"/>
    </w:rPr>
  </w:style>
  <w:style w:type="paragraph" w:customStyle="1" w:styleId="a8">
    <w:name w:val="說明"/>
    <w:basedOn w:val="a"/>
    <w:pPr>
      <w:spacing w:line="500" w:lineRule="exact"/>
      <w:ind w:left="300" w:hangingChars="300" w:hanging="300"/>
    </w:pPr>
    <w:rPr>
      <w:rFonts w:eastAsia="標楷體"/>
      <w:sz w:val="32"/>
    </w:rPr>
  </w:style>
  <w:style w:type="paragraph" w:styleId="a9">
    <w:name w:val="Balloon Text"/>
    <w:basedOn w:val="a"/>
    <w:semiHidden/>
    <w:rsid w:val="00895EA8"/>
    <w:rPr>
      <w:rFonts w:ascii="Arial" w:hAnsi="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121</Words>
  <Characters>691</Characters>
  <Application>Microsoft Office Word</Application>
  <DocSecurity>4</DocSecurity>
  <Lines>5</Lines>
  <Paragraphs>1</Paragraphs>
  <ScaleCrop>false</ScaleCrop>
  <Company/>
  <LinksUpToDate>false</LinksUpToDate>
  <CharactersWithSpaces>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修正「行政院及所屬各級政府機關公立學校公務人員陞任評分標準表」總說明</dc:title>
  <dc:creator>SPEED</dc:creator>
  <cp:lastModifiedBy>User</cp:lastModifiedBy>
  <cp:revision>2</cp:revision>
  <cp:lastPrinted>2011-04-15T10:57:00Z</cp:lastPrinted>
  <dcterms:created xsi:type="dcterms:W3CDTF">2017-01-17T06:22:00Z</dcterms:created>
  <dcterms:modified xsi:type="dcterms:W3CDTF">2017-01-17T06:22:00Z</dcterms:modified>
</cp:coreProperties>
</file>