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6" w:type="pct"/>
        <w:tblCellMar>
          <w:top w:w="45" w:type="dxa"/>
          <w:left w:w="45" w:type="dxa"/>
          <w:bottom w:w="45" w:type="dxa"/>
          <w:right w:w="45" w:type="dxa"/>
        </w:tblCellMar>
        <w:tblLook w:val="0000"/>
      </w:tblPr>
      <w:tblGrid>
        <w:gridCol w:w="1620"/>
        <w:gridCol w:w="6148"/>
      </w:tblGrid>
      <w:tr w:rsidR="00726482" w:rsidRPr="00726482" w:rsidTr="00726482">
        <w:tc>
          <w:tcPr>
            <w:tcW w:w="1043" w:type="pct"/>
            <w:tcBorders>
              <w:bottom w:val="dotted" w:sz="6" w:space="0" w:color="F1DDFF"/>
            </w:tcBorders>
            <w:shd w:val="clear" w:color="auto" w:fill="FDFDE4"/>
            <w:tcMar>
              <w:top w:w="45" w:type="dxa"/>
              <w:left w:w="0" w:type="dxa"/>
              <w:bottom w:w="45" w:type="dxa"/>
              <w:right w:w="0" w:type="dxa"/>
            </w:tcMar>
          </w:tcPr>
          <w:p w:rsidR="00726482" w:rsidRPr="00726482" w:rsidRDefault="00726482" w:rsidP="00726482">
            <w:pPr>
              <w:widowControl/>
              <w:spacing w:line="408" w:lineRule="auto"/>
              <w:ind w:right="480"/>
              <w:jc w:val="center"/>
              <w:rPr>
                <w:rFonts w:ascii="Verdana" w:hAnsi="Verdana" w:cs="新細明體"/>
                <w:color w:val="000000"/>
                <w:kern w:val="0"/>
              </w:rPr>
            </w:pPr>
            <w:r w:rsidRPr="00726482">
              <w:rPr>
                <w:rFonts w:ascii="Verdana" w:hAnsi="Verdana" w:cs="新細明體"/>
                <w:b/>
                <w:bCs/>
                <w:color w:val="000000"/>
                <w:kern w:val="0"/>
              </w:rPr>
              <w:t>法規名稱：</w:t>
            </w:r>
          </w:p>
        </w:tc>
        <w:tc>
          <w:tcPr>
            <w:tcW w:w="0" w:type="auto"/>
            <w:tcBorders>
              <w:bottom w:val="dotted" w:sz="6" w:space="0" w:color="F1DDFF"/>
            </w:tcBorders>
            <w:shd w:val="clear" w:color="auto" w:fill="FDFDE4"/>
            <w:tcMar>
              <w:top w:w="45" w:type="dxa"/>
              <w:left w:w="0" w:type="dxa"/>
              <w:bottom w:w="45" w:type="dxa"/>
              <w:right w:w="0" w:type="dxa"/>
            </w:tcMar>
          </w:tcPr>
          <w:p w:rsidR="00726482" w:rsidRPr="00726482" w:rsidRDefault="00726482" w:rsidP="00726482">
            <w:pPr>
              <w:widowControl/>
              <w:spacing w:line="408" w:lineRule="auto"/>
              <w:rPr>
                <w:rFonts w:ascii="Verdana" w:hAnsi="Verdana" w:cs="新細明體"/>
                <w:color w:val="000000"/>
                <w:kern w:val="0"/>
              </w:rPr>
            </w:pPr>
            <w:hyperlink r:id="rId4" w:history="1">
              <w:r w:rsidRPr="00726482">
                <w:rPr>
                  <w:rFonts w:ascii="Verdana" w:hAnsi="Verdana" w:cs="新細明體"/>
                  <w:color w:val="2B74B8"/>
                  <w:kern w:val="0"/>
                  <w:u w:val="single"/>
                </w:rPr>
                <w:t>行政院國軍退除役官兵輔導委員會及附屬機構職員遷調規定</w:t>
              </w:r>
            </w:hyperlink>
            <w:r w:rsidRPr="00726482">
              <w:rPr>
                <w:rFonts w:ascii="Verdana" w:hAnsi="Verdana" w:cs="新細明體"/>
                <w:color w:val="000000"/>
                <w:kern w:val="0"/>
              </w:rPr>
              <w:t xml:space="preserve"> ( </w:t>
            </w:r>
            <w:r w:rsidRPr="00726482">
              <w:rPr>
                <w:rFonts w:ascii="Verdana" w:hAnsi="Verdana" w:cs="新細明體"/>
                <w:color w:val="000000"/>
                <w:kern w:val="0"/>
              </w:rPr>
              <w:t>民國</w:t>
            </w:r>
            <w:r w:rsidRPr="00726482">
              <w:rPr>
                <w:rFonts w:ascii="Verdana" w:hAnsi="Verdana" w:cs="新細明體"/>
                <w:color w:val="000000"/>
                <w:kern w:val="0"/>
              </w:rPr>
              <w:t xml:space="preserve"> 99 </w:t>
            </w:r>
            <w:r w:rsidRPr="00726482">
              <w:rPr>
                <w:rFonts w:ascii="Verdana" w:hAnsi="Verdana" w:cs="新細明體"/>
                <w:color w:val="000000"/>
                <w:kern w:val="0"/>
              </w:rPr>
              <w:t>年</w:t>
            </w:r>
            <w:r w:rsidRPr="00726482">
              <w:rPr>
                <w:rFonts w:ascii="Verdana" w:hAnsi="Verdana" w:cs="新細明體"/>
                <w:color w:val="000000"/>
                <w:kern w:val="0"/>
              </w:rPr>
              <w:t xml:space="preserve"> 12 </w:t>
            </w:r>
            <w:r w:rsidRPr="00726482">
              <w:rPr>
                <w:rFonts w:ascii="Verdana" w:hAnsi="Verdana" w:cs="新細明體"/>
                <w:color w:val="000000"/>
                <w:kern w:val="0"/>
              </w:rPr>
              <w:t>月</w:t>
            </w:r>
            <w:r w:rsidRPr="00726482">
              <w:rPr>
                <w:rFonts w:ascii="Verdana" w:hAnsi="Verdana" w:cs="新細明體"/>
                <w:color w:val="000000"/>
                <w:kern w:val="0"/>
              </w:rPr>
              <w:t xml:space="preserve"> 13 </w:t>
            </w:r>
            <w:r w:rsidRPr="00726482">
              <w:rPr>
                <w:rFonts w:ascii="Verdana" w:hAnsi="Verdana" w:cs="新細明體"/>
                <w:color w:val="000000"/>
                <w:kern w:val="0"/>
              </w:rPr>
              <w:t>日</w:t>
            </w:r>
            <w:r w:rsidRPr="00726482">
              <w:rPr>
                <w:rFonts w:ascii="Verdana" w:hAnsi="Verdana" w:cs="新細明體"/>
                <w:color w:val="000000"/>
                <w:kern w:val="0"/>
              </w:rPr>
              <w:t xml:space="preserve"> </w:t>
            </w:r>
            <w:r w:rsidRPr="00726482">
              <w:rPr>
                <w:rFonts w:ascii="Verdana" w:hAnsi="Verdana" w:cs="新細明體"/>
                <w:color w:val="000000"/>
                <w:kern w:val="0"/>
              </w:rPr>
              <w:t>發布／函頒</w:t>
            </w:r>
            <w:r w:rsidRPr="00726482">
              <w:rPr>
                <w:rFonts w:ascii="Verdana" w:hAnsi="Verdana" w:cs="新細明體"/>
                <w:color w:val="000000"/>
                <w:kern w:val="0"/>
              </w:rPr>
              <w:t xml:space="preserve"> ) </w:t>
            </w:r>
          </w:p>
        </w:tc>
      </w:tr>
    </w:tbl>
    <w:p w:rsidR="00726482" w:rsidRPr="00726482" w:rsidRDefault="00726482" w:rsidP="00726482">
      <w:pPr>
        <w:widowControl/>
        <w:rPr>
          <w:rFonts w:ascii="Verdana" w:hAnsi="Verdana" w:cs="新細明體"/>
          <w:vanish/>
          <w:color w:val="000000"/>
          <w:kern w:val="0"/>
        </w:rPr>
      </w:pPr>
    </w:p>
    <w:tbl>
      <w:tblPr>
        <w:tblW w:w="5000" w:type="pct"/>
        <w:tblCellMar>
          <w:top w:w="45" w:type="dxa"/>
          <w:left w:w="45" w:type="dxa"/>
          <w:bottom w:w="45" w:type="dxa"/>
          <w:right w:w="45" w:type="dxa"/>
        </w:tblCellMar>
        <w:tblLook w:val="0000"/>
      </w:tblPr>
      <w:tblGrid>
        <w:gridCol w:w="176"/>
        <w:gridCol w:w="8130"/>
      </w:tblGrid>
      <w:tr w:rsidR="00726482" w:rsidRPr="00726482" w:rsidTr="00726482">
        <w:trPr>
          <w:hidden/>
        </w:trPr>
        <w:tc>
          <w:tcPr>
            <w:tcW w:w="106" w:type="pct"/>
            <w:tcBorders>
              <w:bottom w:val="dotted" w:sz="6" w:space="0" w:color="F1DDFF"/>
            </w:tcBorders>
            <w:tcMar>
              <w:top w:w="45" w:type="dxa"/>
              <w:left w:w="0" w:type="dxa"/>
              <w:bottom w:w="45" w:type="dxa"/>
              <w:right w:w="0" w:type="dxa"/>
            </w:tcMar>
          </w:tcPr>
          <w:p w:rsidR="00726482" w:rsidRPr="00726482" w:rsidRDefault="00726482" w:rsidP="00726482">
            <w:pPr>
              <w:widowControl/>
              <w:spacing w:line="408" w:lineRule="auto"/>
              <w:rPr>
                <w:rFonts w:ascii="Verdana" w:hAnsi="Verdana" w:cs="新細明體"/>
                <w:vanish/>
                <w:color w:val="000000"/>
                <w:kern w:val="0"/>
              </w:rPr>
            </w:pPr>
          </w:p>
        </w:tc>
        <w:tc>
          <w:tcPr>
            <w:tcW w:w="4894" w:type="pct"/>
            <w:tcBorders>
              <w:bottom w:val="dotted" w:sz="6" w:space="0" w:color="F1DDFF"/>
            </w:tcBorders>
            <w:tcMar>
              <w:top w:w="45" w:type="dxa"/>
              <w:left w:w="0" w:type="dxa"/>
              <w:bottom w:w="45" w:type="dxa"/>
              <w:right w:w="0" w:type="dxa"/>
            </w:tcMar>
          </w:tcPr>
          <w:p w:rsidR="00726482" w:rsidRPr="00726482" w:rsidRDefault="00726482" w:rsidP="00726482">
            <w:pPr>
              <w:widowControl/>
              <w:spacing w:line="408" w:lineRule="auto"/>
              <w:rPr>
                <w:rFonts w:ascii="Verdana" w:hAnsi="Verdana" w:cs="新細明體"/>
                <w:vanish/>
                <w:color w:val="000000"/>
                <w:kern w:val="0"/>
              </w:rPr>
            </w:pPr>
          </w:p>
        </w:tc>
      </w:tr>
      <w:tr w:rsidR="00726482" w:rsidRPr="00726482" w:rsidTr="00726482">
        <w:tc>
          <w:tcPr>
            <w:tcW w:w="106" w:type="pct"/>
            <w:tcBorders>
              <w:bottom w:val="dotted" w:sz="6" w:space="0" w:color="F1DDFF"/>
            </w:tcBorders>
            <w:tcMar>
              <w:top w:w="45" w:type="dxa"/>
              <w:left w:w="0" w:type="dxa"/>
              <w:bottom w:w="45" w:type="dxa"/>
              <w:right w:w="0" w:type="dxa"/>
            </w:tcMar>
          </w:tcPr>
          <w:p w:rsidR="00726482" w:rsidRPr="00726482" w:rsidRDefault="00726482" w:rsidP="00726482">
            <w:pPr>
              <w:widowControl/>
              <w:spacing w:line="408" w:lineRule="auto"/>
              <w:ind w:rightChars="109" w:right="262"/>
              <w:rPr>
                <w:rFonts w:ascii="Verdana" w:hAnsi="Verdana" w:cs="新細明體"/>
                <w:color w:val="000000"/>
                <w:kern w:val="0"/>
              </w:rPr>
            </w:pPr>
          </w:p>
        </w:tc>
        <w:tc>
          <w:tcPr>
            <w:tcW w:w="4894" w:type="pct"/>
            <w:tcBorders>
              <w:bottom w:val="dotted" w:sz="6" w:space="0" w:color="F1DDFF"/>
            </w:tcBorders>
            <w:tcMar>
              <w:top w:w="45" w:type="dxa"/>
              <w:left w:w="0" w:type="dxa"/>
              <w:bottom w:w="45" w:type="dxa"/>
              <w:right w:w="0" w:type="dxa"/>
            </w:tcMar>
          </w:tcPr>
          <w:p w:rsidR="00726482" w:rsidRPr="00726482" w:rsidRDefault="00726482" w:rsidP="00726482">
            <w:pPr>
              <w:widowControl/>
              <w:spacing w:beforeLines="50"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szCs w:val="36"/>
              </w:rPr>
              <w:t>一、</w:t>
            </w:r>
            <w:r w:rsidRPr="00726482">
              <w:rPr>
                <w:rFonts w:cs="新細明體" w:hint="eastAsia"/>
                <w:color w:val="000000"/>
                <w:kern w:val="0"/>
              </w:rPr>
              <w:t>行政院國軍退除役官兵輔導委員會（以下稱本會）為暢通本會及附屬機構各級職務橫向交流，促進組織整合並增進職務歷練，特依公務人員陞遷法第十三條第二項規定，訂定本規定。</w:t>
            </w:r>
          </w:p>
          <w:p w:rsidR="00726482" w:rsidRPr="00726482" w:rsidRDefault="00726482" w:rsidP="00726482">
            <w:pPr>
              <w:widowControl/>
              <w:spacing w:beforeLines="25" w:line="500" w:lineRule="exact"/>
              <w:ind w:left="480" w:hangingChars="200" w:hanging="480"/>
              <w:jc w:val="both"/>
              <w:rPr>
                <w:rFonts w:cs="新細明體"/>
                <w:color w:val="000000"/>
                <w:kern w:val="0"/>
              </w:rPr>
            </w:pPr>
            <w:r w:rsidRPr="00726482">
              <w:rPr>
                <w:rFonts w:cs="新細明體" w:hint="eastAsia"/>
                <w:color w:val="000000"/>
                <w:kern w:val="0"/>
              </w:rPr>
              <w:t>二、本會及附屬機構職務列等（級別）及職務相當之所屬人員，應配合職務性質及業務需要，實施以下各種遷調：</w:t>
            </w:r>
          </w:p>
          <w:p w:rsidR="00726482" w:rsidRPr="00726482" w:rsidRDefault="00726482" w:rsidP="00726482">
            <w:pPr>
              <w:widowControl/>
              <w:spacing w:before="100" w:beforeAutospacing="1" w:after="100" w:afterAutospacing="1" w:line="500" w:lineRule="exact"/>
              <w:ind w:leftChars="200" w:left="1200" w:hangingChars="300" w:hanging="720"/>
              <w:jc w:val="both"/>
              <w:rPr>
                <w:rFonts w:cs="新細明體"/>
                <w:color w:val="000000"/>
                <w:kern w:val="0"/>
              </w:rPr>
            </w:pPr>
            <w:r w:rsidRPr="00726482">
              <w:rPr>
                <w:rFonts w:cs="新細明體" w:hint="eastAsia"/>
                <w:color w:val="000000"/>
                <w:kern w:val="0"/>
              </w:rPr>
              <w:t>（一）本會內部單位主管間或副主管間之遷調。</w:t>
            </w:r>
          </w:p>
          <w:p w:rsidR="00726482" w:rsidRPr="00726482" w:rsidRDefault="00726482" w:rsidP="00726482">
            <w:pPr>
              <w:widowControl/>
              <w:spacing w:before="100" w:beforeAutospacing="1" w:after="100" w:afterAutospacing="1" w:line="500" w:lineRule="exact"/>
              <w:ind w:leftChars="200" w:left="1200" w:hangingChars="300" w:hanging="720"/>
              <w:jc w:val="both"/>
              <w:rPr>
                <w:rFonts w:cs="新細明體"/>
                <w:color w:val="000000"/>
                <w:kern w:val="0"/>
              </w:rPr>
            </w:pPr>
            <w:r w:rsidRPr="00726482">
              <w:rPr>
                <w:rFonts w:cs="新細明體" w:hint="eastAsia"/>
                <w:color w:val="000000"/>
                <w:kern w:val="0"/>
              </w:rPr>
              <w:t>（二）本會非主管人員間之遷調。</w:t>
            </w:r>
          </w:p>
          <w:p w:rsidR="00726482" w:rsidRPr="00726482" w:rsidRDefault="00726482" w:rsidP="00726482">
            <w:pPr>
              <w:widowControl/>
              <w:spacing w:before="100" w:beforeAutospacing="1" w:after="100" w:afterAutospacing="1" w:line="500" w:lineRule="exact"/>
              <w:ind w:leftChars="200" w:left="1200" w:hangingChars="300" w:hanging="720"/>
              <w:jc w:val="both"/>
              <w:rPr>
                <w:rFonts w:ascii="新細明體" w:hAnsi="新細明體" w:cs="新細明體"/>
                <w:color w:val="000000"/>
                <w:kern w:val="0"/>
              </w:rPr>
            </w:pPr>
            <w:r w:rsidRPr="00726482">
              <w:rPr>
                <w:rFonts w:cs="新細明體" w:hint="eastAsia"/>
                <w:color w:val="000000"/>
                <w:kern w:val="0"/>
              </w:rPr>
              <w:t>（三）本會主管人員與附屬機構首長或主管人員間之遷調。</w:t>
            </w:r>
          </w:p>
          <w:p w:rsidR="00726482" w:rsidRPr="00726482" w:rsidRDefault="00726482" w:rsidP="00726482">
            <w:pPr>
              <w:widowControl/>
              <w:spacing w:before="100" w:beforeAutospacing="1" w:after="100" w:afterAutospacing="1" w:line="500" w:lineRule="exact"/>
              <w:ind w:leftChars="200" w:left="1200" w:hangingChars="300" w:hanging="720"/>
              <w:jc w:val="both"/>
              <w:rPr>
                <w:rFonts w:ascii="新細明體" w:hAnsi="新細明體" w:cs="新細明體"/>
                <w:color w:val="000000"/>
                <w:kern w:val="0"/>
              </w:rPr>
            </w:pPr>
            <w:r w:rsidRPr="00726482">
              <w:rPr>
                <w:rFonts w:cs="新細明體" w:hint="eastAsia"/>
                <w:color w:val="000000"/>
                <w:kern w:val="0"/>
              </w:rPr>
              <w:t>（四）附屬機構首長、副首長或主管、副主管人員間之遷調。</w:t>
            </w:r>
          </w:p>
          <w:p w:rsidR="00726482" w:rsidRPr="00726482" w:rsidRDefault="00726482" w:rsidP="00726482">
            <w:pPr>
              <w:widowControl/>
              <w:spacing w:before="100" w:beforeAutospacing="1" w:after="100" w:afterAutospacing="1" w:line="500" w:lineRule="exact"/>
              <w:ind w:leftChars="200" w:left="1200" w:hangingChars="300" w:hanging="720"/>
              <w:jc w:val="both"/>
              <w:rPr>
                <w:rFonts w:ascii="新細明體" w:hAnsi="新細明體" w:cs="新細明體"/>
                <w:color w:val="000000"/>
                <w:kern w:val="0"/>
              </w:rPr>
            </w:pPr>
            <w:r w:rsidRPr="00726482">
              <w:rPr>
                <w:rFonts w:cs="新細明體" w:hint="eastAsia"/>
                <w:color w:val="000000"/>
                <w:kern w:val="0"/>
              </w:rPr>
              <w:t>（五）本會與附屬機構間或附屬機構間非主管人員之遷調。</w:t>
            </w:r>
          </w:p>
          <w:p w:rsidR="00726482" w:rsidRPr="00726482" w:rsidRDefault="00726482" w:rsidP="00726482">
            <w:pPr>
              <w:widowControl/>
              <w:spacing w:before="100" w:beforeAutospacing="1" w:after="100" w:afterAutospacing="1" w:line="500" w:lineRule="exact"/>
              <w:ind w:leftChars="200" w:left="480"/>
              <w:jc w:val="both"/>
              <w:rPr>
                <w:rFonts w:ascii="新細明體" w:hAnsi="新細明體" w:cs="新細明體"/>
                <w:color w:val="000000"/>
                <w:kern w:val="0"/>
              </w:rPr>
            </w:pPr>
            <w:r w:rsidRPr="00726482">
              <w:rPr>
                <w:rFonts w:cs="新細明體" w:hint="eastAsia"/>
                <w:color w:val="000000"/>
                <w:kern w:val="0"/>
                <w:szCs w:val="36"/>
              </w:rPr>
              <w:t>以上各種遷調，得免經甄審（選）程序辦理。</w:t>
            </w:r>
          </w:p>
          <w:p w:rsidR="00726482" w:rsidRPr="00726482" w:rsidRDefault="00726482" w:rsidP="00726482">
            <w:pPr>
              <w:widowControl/>
              <w:spacing w:beforeLines="25"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rPr>
              <w:t>三、本規定所稱職務列等（級別）及職務相當，指職務之列等（級別）相同或均為跨列二個以上職等職務，所列最高職等相同最低職等不同，及同為主管、同為副主管或同為非主管職務。</w:t>
            </w:r>
          </w:p>
          <w:p w:rsidR="00726482" w:rsidRPr="00726482" w:rsidRDefault="00726482" w:rsidP="00726482">
            <w:pPr>
              <w:widowControl/>
              <w:spacing w:beforeLines="25"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szCs w:val="36"/>
              </w:rPr>
              <w:t>四、職務遷調以任現職滿三年以上人員優先檢討辦理；任現職未滿三年人員，得因業務需要隨時辦理遷調。</w:t>
            </w:r>
          </w:p>
          <w:p w:rsidR="00726482" w:rsidRPr="00726482" w:rsidRDefault="00726482" w:rsidP="00726482">
            <w:pPr>
              <w:widowControl/>
              <w:spacing w:beforeLines="25"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szCs w:val="36"/>
              </w:rPr>
              <w:t>五、各附屬機構一級主管以下職務，得由各該機構徵詢當事人及其現職機構書面同意後，按任免權責以派免建議函報送本會核辦，或依授權由各該機構</w:t>
            </w:r>
            <w:r w:rsidRPr="00726482">
              <w:rPr>
                <w:rFonts w:cs="新細明體" w:hint="eastAsia"/>
                <w:color w:val="000000"/>
                <w:kern w:val="0"/>
                <w:szCs w:val="36"/>
              </w:rPr>
              <w:lastRenderedPageBreak/>
              <w:t>核定遷調。</w:t>
            </w:r>
          </w:p>
          <w:p w:rsidR="00726482" w:rsidRPr="00726482" w:rsidRDefault="00726482" w:rsidP="00726482">
            <w:pPr>
              <w:widowControl/>
              <w:spacing w:beforeLines="25"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szCs w:val="36"/>
              </w:rPr>
              <w:t>六、各附屬機構由派用機關改制為任用機關後，未具任用資格登記有案之現職留用人員，得依相關規定於附屬機構間調任同職組範圍內職務列等及職務相當之職務。</w:t>
            </w:r>
          </w:p>
          <w:p w:rsidR="00726482" w:rsidRPr="00726482" w:rsidRDefault="00726482" w:rsidP="00726482">
            <w:pPr>
              <w:widowControl/>
              <w:spacing w:beforeLines="25" w:line="500" w:lineRule="exact"/>
              <w:ind w:left="480" w:hangingChars="200" w:hanging="480"/>
              <w:jc w:val="both"/>
              <w:rPr>
                <w:rFonts w:ascii="新細明體" w:hAnsi="新細明體" w:cs="新細明體"/>
                <w:color w:val="000000"/>
                <w:kern w:val="0"/>
              </w:rPr>
            </w:pPr>
            <w:r w:rsidRPr="00726482">
              <w:rPr>
                <w:rFonts w:cs="新細明體" w:hint="eastAsia"/>
                <w:color w:val="000000"/>
                <w:kern w:val="0"/>
                <w:szCs w:val="36"/>
              </w:rPr>
              <w:t>七、各附屬醫療機構首長、副首長或醫事單位主管、副主管之適用本規定，以遷調同級醫療機構之同級醫事單位職務為限。所稱同級醫療機構，以榮民總醫院、榮民醫院（榮民總醫院分院）二級區分之。</w:t>
            </w:r>
          </w:p>
          <w:p w:rsidR="00726482" w:rsidRPr="00726482" w:rsidRDefault="00726482" w:rsidP="00726482">
            <w:pPr>
              <w:widowControl/>
              <w:spacing w:beforeAutospacing="1" w:afterAutospacing="1" w:line="408" w:lineRule="auto"/>
              <w:rPr>
                <w:rFonts w:ascii="Verdana" w:hAnsi="Verdana" w:cs="新細明體"/>
                <w:color w:val="000000"/>
                <w:kern w:val="0"/>
              </w:rPr>
            </w:pPr>
            <w:r w:rsidRPr="00726482">
              <w:rPr>
                <w:rFonts w:hint="eastAsia"/>
                <w:color w:val="000000"/>
                <w:szCs w:val="36"/>
              </w:rPr>
              <w:t>八、人事、會計、政風人員之遷調，分別依行政院人事行政局、行政院主計</w:t>
            </w:r>
            <w:r w:rsidRPr="00726482">
              <w:rPr>
                <w:rFonts w:hint="eastAsia"/>
                <w:color w:val="000000"/>
                <w:szCs w:val="36"/>
              </w:rPr>
              <w:br/>
              <w:t xml:space="preserve">        </w:t>
            </w:r>
            <w:r w:rsidRPr="00726482">
              <w:rPr>
                <w:rFonts w:hint="eastAsia"/>
                <w:color w:val="000000"/>
                <w:szCs w:val="36"/>
              </w:rPr>
              <w:t>處、法務部所定職員遷調規定辦理。</w:t>
            </w:r>
          </w:p>
        </w:tc>
      </w:tr>
    </w:tbl>
    <w:p w:rsidR="0019590A" w:rsidRPr="00726482" w:rsidRDefault="0019590A"/>
    <w:sectPr w:rsidR="0019590A" w:rsidRPr="0072648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6482"/>
    <w:rsid w:val="000623FD"/>
    <w:rsid w:val="00080A3F"/>
    <w:rsid w:val="000A1F41"/>
    <w:rsid w:val="0019590A"/>
    <w:rsid w:val="00217A04"/>
    <w:rsid w:val="002636E7"/>
    <w:rsid w:val="002F1623"/>
    <w:rsid w:val="002F19F4"/>
    <w:rsid w:val="0030443E"/>
    <w:rsid w:val="00372B48"/>
    <w:rsid w:val="00404EA1"/>
    <w:rsid w:val="0047307D"/>
    <w:rsid w:val="004F0463"/>
    <w:rsid w:val="00531C93"/>
    <w:rsid w:val="005D158B"/>
    <w:rsid w:val="00606A92"/>
    <w:rsid w:val="006B7BC4"/>
    <w:rsid w:val="006C36E2"/>
    <w:rsid w:val="00726482"/>
    <w:rsid w:val="007448C9"/>
    <w:rsid w:val="007915DB"/>
    <w:rsid w:val="008A321D"/>
    <w:rsid w:val="008B6859"/>
    <w:rsid w:val="008E5348"/>
    <w:rsid w:val="008F1499"/>
    <w:rsid w:val="00913524"/>
    <w:rsid w:val="00925344"/>
    <w:rsid w:val="00964A86"/>
    <w:rsid w:val="00AA5B9F"/>
    <w:rsid w:val="00AF64E7"/>
    <w:rsid w:val="00B31931"/>
    <w:rsid w:val="00B5067A"/>
    <w:rsid w:val="00B93861"/>
    <w:rsid w:val="00C5588B"/>
    <w:rsid w:val="00C80946"/>
    <w:rsid w:val="00D247DA"/>
    <w:rsid w:val="00E029D2"/>
    <w:rsid w:val="00E06E95"/>
    <w:rsid w:val="00E26DB4"/>
    <w:rsid w:val="00E9508E"/>
    <w:rsid w:val="00EC5C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memotext31">
    <w:name w:val="memo_text31"/>
    <w:basedOn w:val="a0"/>
    <w:rsid w:val="00726482"/>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97980002">
      <w:bodyDiv w:val="1"/>
      <w:marLeft w:val="0"/>
      <w:marRight w:val="0"/>
      <w:marTop w:val="0"/>
      <w:marBottom w:val="0"/>
      <w:divBdr>
        <w:top w:val="none" w:sz="0" w:space="0" w:color="auto"/>
        <w:left w:val="none" w:sz="0" w:space="0" w:color="auto"/>
        <w:bottom w:val="none" w:sz="0" w:space="0" w:color="auto"/>
        <w:right w:val="none" w:sz="0" w:space="0" w:color="auto"/>
      </w:divBdr>
      <w:divsChild>
        <w:div w:id="1012032457">
          <w:marLeft w:val="0"/>
          <w:marRight w:val="0"/>
          <w:marTop w:val="0"/>
          <w:marBottom w:val="0"/>
          <w:divBdr>
            <w:top w:val="none" w:sz="0" w:space="0" w:color="auto"/>
            <w:left w:val="none" w:sz="0" w:space="0" w:color="auto"/>
            <w:bottom w:val="none" w:sz="0" w:space="0" w:color="auto"/>
            <w:right w:val="none" w:sz="0" w:space="0" w:color="auto"/>
          </w:divBdr>
          <w:divsChild>
            <w:div w:id="834340329">
              <w:marLeft w:val="0"/>
              <w:marRight w:val="0"/>
              <w:marTop w:val="0"/>
              <w:marBottom w:val="0"/>
              <w:divBdr>
                <w:top w:val="none" w:sz="0" w:space="0" w:color="auto"/>
                <w:left w:val="none" w:sz="0" w:space="0" w:color="auto"/>
                <w:bottom w:val="none" w:sz="0" w:space="0" w:color="auto"/>
                <w:right w:val="none" w:sz="0" w:space="0" w:color="auto"/>
              </w:divBdr>
              <w:divsChild>
                <w:div w:id="835606065">
                  <w:marLeft w:val="0"/>
                  <w:marRight w:val="0"/>
                  <w:marTop w:val="0"/>
                  <w:marBottom w:val="0"/>
                  <w:divBdr>
                    <w:top w:val="none" w:sz="0" w:space="0" w:color="auto"/>
                    <w:left w:val="none" w:sz="0" w:space="0" w:color="auto"/>
                    <w:bottom w:val="none" w:sz="0" w:space="0" w:color="auto"/>
                    <w:right w:val="none" w:sz="0" w:space="0" w:color="auto"/>
                  </w:divBdr>
                  <w:divsChild>
                    <w:div w:id="770205074">
                      <w:marLeft w:val="10"/>
                      <w:marRight w:val="0"/>
                      <w:marTop w:val="0"/>
                      <w:marBottom w:val="0"/>
                      <w:divBdr>
                        <w:top w:val="none" w:sz="0" w:space="0" w:color="auto"/>
                        <w:left w:val="none" w:sz="0" w:space="0" w:color="auto"/>
                        <w:bottom w:val="none" w:sz="0" w:space="0" w:color="auto"/>
                        <w:right w:val="none" w:sz="0" w:space="0" w:color="auto"/>
                      </w:divBdr>
                      <w:divsChild>
                        <w:div w:id="13102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vac.gov.tw/vaclaw/LawContent.aspx?id=GL00000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4</DocSecurity>
  <Lines>5</Lines>
  <Paragraphs>1</Paragraphs>
  <ScaleCrop>false</ScaleCrop>
  <Company>VHYK</Company>
  <LinksUpToDate>false</LinksUpToDate>
  <CharactersWithSpaces>842</CharactersWithSpaces>
  <SharedDoc>false</SharedDoc>
  <HLinks>
    <vt:vector size="6" baseType="variant">
      <vt:variant>
        <vt:i4>5373956</vt:i4>
      </vt:variant>
      <vt:variant>
        <vt:i4>0</vt:i4>
      </vt:variant>
      <vt:variant>
        <vt:i4>0</vt:i4>
      </vt:variant>
      <vt:variant>
        <vt:i4>5</vt:i4>
      </vt:variant>
      <vt:variant>
        <vt:lpwstr>http://law.vac.gov.tw/vaclaw/LawContent.aspx?id=GL000004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dc:title>
  <dc:creator>user</dc:creator>
  <cp:lastModifiedBy>User</cp:lastModifiedBy>
  <cp:revision>2</cp:revision>
  <dcterms:created xsi:type="dcterms:W3CDTF">2017-01-17T06:19:00Z</dcterms:created>
  <dcterms:modified xsi:type="dcterms:W3CDTF">2017-01-17T06:19:00Z</dcterms:modified>
</cp:coreProperties>
</file>